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7"/>
        <w:tblW w:w="2127"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1618"/>
      </w:tblGrid>
      <w:tr w14:paraId="11EB3E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vAlign w:val="center"/>
          </w:tcPr>
          <w:p w14:paraId="02F76239">
            <w:pPr>
              <w:pStyle w:val="20"/>
              <w:framePr w:wrap="around" w:vAnchor="margin" w:hAnchor="text" w:y="1"/>
              <w:tabs>
                <w:tab w:val="clear" w:pos="4153"/>
                <w:tab w:val="clear" w:pos="8306"/>
              </w:tabs>
              <w:spacing w:line="240" w:lineRule="auto"/>
              <w:jc w:val="both"/>
              <w:rPr>
                <w:rFonts w:ascii="Times New Roman" w:hAnsi="Times New Roman" w:eastAsia="黑体"/>
                <w:b/>
                <w:bCs/>
                <w:sz w:val="21"/>
                <w:szCs w:val="21"/>
              </w:rPr>
            </w:pPr>
            <w:r>
              <w:rPr>
                <w:rFonts w:hint="eastAsia" w:ascii="Times New Roman" w:hAnsi="Times New Roman" w:eastAsia="黑体"/>
                <w:b/>
                <w:bCs/>
                <w:sz w:val="21"/>
                <w:szCs w:val="21"/>
              </w:rPr>
              <w:t>ICS</w:t>
            </w:r>
          </w:p>
        </w:tc>
        <w:tc>
          <w:tcPr>
            <w:tcW w:w="1618" w:type="dxa"/>
            <w:vAlign w:val="center"/>
          </w:tcPr>
          <w:p w14:paraId="4EEDD388">
            <w:pPr>
              <w:pStyle w:val="20"/>
              <w:framePr w:wrap="around" w:vAnchor="margin" w:hAnchor="text" w:y="1"/>
              <w:tabs>
                <w:tab w:val="clear" w:pos="4153"/>
                <w:tab w:val="clear" w:pos="8306"/>
              </w:tabs>
              <w:spacing w:line="240" w:lineRule="auto"/>
              <w:jc w:val="both"/>
              <w:rPr>
                <w:rFonts w:hint="default" w:ascii="Times New Roman" w:hAnsi="Times New Roman" w:eastAsia="黑体"/>
                <w:sz w:val="21"/>
                <w:szCs w:val="21"/>
                <w:lang w:val="en-US" w:eastAsia="zh-CN"/>
              </w:rPr>
            </w:pPr>
            <w:r>
              <w:rPr>
                <w:rFonts w:hint="eastAsia" w:ascii="Times New Roman" w:hAnsi="Times New Roman" w:eastAsia="黑体"/>
                <w:sz w:val="21"/>
                <w:szCs w:val="21"/>
                <w:lang w:val="en-US" w:eastAsia="zh-CN"/>
              </w:rPr>
              <w:t>27.120.20</w:t>
            </w:r>
          </w:p>
        </w:tc>
      </w:tr>
      <w:tr w14:paraId="68AFA5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vAlign w:val="center"/>
          </w:tcPr>
          <w:p w14:paraId="77E6CAE0">
            <w:pPr>
              <w:pStyle w:val="20"/>
              <w:framePr w:wrap="around" w:vAnchor="margin" w:hAnchor="text" w:y="1"/>
              <w:tabs>
                <w:tab w:val="clear" w:pos="4153"/>
                <w:tab w:val="clear" w:pos="8306"/>
              </w:tabs>
              <w:spacing w:line="240" w:lineRule="auto"/>
              <w:jc w:val="both"/>
              <w:rPr>
                <w:rFonts w:ascii="Times New Roman" w:hAnsi="Times New Roman" w:eastAsia="黑体"/>
                <w:b/>
                <w:bCs/>
                <w:sz w:val="21"/>
                <w:szCs w:val="21"/>
              </w:rPr>
            </w:pPr>
            <w:r>
              <w:rPr>
                <w:rFonts w:ascii="Times New Roman" w:hAnsi="Times New Roman" w:eastAsia="黑体"/>
                <w:b/>
                <w:bCs/>
                <w:sz w:val="21"/>
                <w:szCs w:val="21"/>
              </w:rPr>
              <w:t>CCS</w:t>
            </w:r>
          </w:p>
        </w:tc>
        <w:tc>
          <w:tcPr>
            <w:tcW w:w="1618" w:type="dxa"/>
            <w:vAlign w:val="center"/>
          </w:tcPr>
          <w:p w14:paraId="5FB9995A">
            <w:pPr>
              <w:pStyle w:val="20"/>
              <w:framePr w:wrap="around" w:vAnchor="margin" w:hAnchor="text" w:y="1"/>
              <w:tabs>
                <w:tab w:val="clear" w:pos="4153"/>
                <w:tab w:val="clear" w:pos="8306"/>
              </w:tabs>
              <w:spacing w:line="240" w:lineRule="auto"/>
              <w:jc w:val="both"/>
              <w:rPr>
                <w:rFonts w:hint="default" w:ascii="Times New Roman" w:hAnsi="Times New Roman" w:eastAsia="黑体"/>
                <w:sz w:val="21"/>
                <w:szCs w:val="21"/>
                <w:lang w:val="en-US" w:eastAsia="zh-CN"/>
              </w:rPr>
            </w:pPr>
            <w:r>
              <w:rPr>
                <w:rFonts w:hint="eastAsia" w:ascii="Times New Roman" w:hAnsi="Times New Roman" w:eastAsia="黑体"/>
                <w:sz w:val="21"/>
                <w:szCs w:val="21"/>
                <w:lang w:val="en-US" w:eastAsia="zh-CN"/>
              </w:rPr>
              <w:t>F 65</w:t>
            </w:r>
          </w:p>
        </w:tc>
      </w:tr>
    </w:tbl>
    <w:sdt>
      <w:sdtPr>
        <w:rPr>
          <w:rFonts w:ascii="Times New Roman" w:eastAsia="宋体"/>
          <w:kern w:val="2"/>
          <w:szCs w:val="24"/>
        </w:rPr>
        <w:id w:val="1872955887"/>
      </w:sdtPr>
      <w:sdtEndPr>
        <w:rPr>
          <w:rFonts w:ascii="Times New Roman" w:eastAsia="宋体"/>
          <w:kern w:val="2"/>
          <w:szCs w:val="24"/>
        </w:rPr>
      </w:sdtEndPr>
      <w:sdtContent>
        <w:p w14:paraId="55D45D02">
          <w:pPr>
            <w:pStyle w:val="133"/>
            <w:framePr w:wrap="around"/>
            <w:spacing w:before="312" w:after="312"/>
            <w:rPr>
              <w:rFonts w:hint="eastAsia"/>
              <w:color w:val="FF0000"/>
            </w:rPr>
          </w:pPr>
          <w:bookmarkStart w:id="0" w:name="OLE_LINK3"/>
          <w:bookmarkStart w:id="1" w:name="_Toc517864613"/>
          <w:bookmarkStart w:id="2" w:name="_Toc517867549"/>
          <w:bookmarkStart w:id="3" w:name="_Toc517860462"/>
          <w:bookmarkStart w:id="4" w:name="_Toc517957211"/>
          <w:bookmarkStart w:id="5" w:name="_Toc517864657"/>
        </w:p>
        <w:bookmarkEnd w:id="0"/>
        <w:tbl>
          <w:tblPr>
            <w:tblStyle w:val="36"/>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1"/>
          </w:tblGrid>
          <w:tr w14:paraId="7340D0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4" w:type="dxa"/>
                <w:tcBorders>
                  <w:top w:val="nil"/>
                  <w:left w:val="nil"/>
                  <w:bottom w:val="nil"/>
                  <w:right w:val="nil"/>
                </w:tcBorders>
              </w:tcPr>
              <w:p w14:paraId="4F00F842">
                <w:pPr>
                  <w:pStyle w:val="133"/>
                  <w:framePr w:wrap="around"/>
                  <w:spacing w:before="312" w:after="312"/>
                </w:pPr>
                <w:r>
                  <w:pict>
                    <v:rect id="BAH" o:spid="_x0000_s2050" o:spt="1" style="position:absolute;left:0pt;margin-left:-5.25pt;margin-top:0pt;height:15.6pt;width:68.25pt;z-index:-251654144;mso-width-relative:page;mso-height-relative:page;"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yK4v7NUAAAAHAQAADwAAAAAAAAABACAAAAAiAAAAZHJzL2Rvd25yZXYueG1sUEsBAhQA&#10;FAAAAAgAh07iQBxvMon1AQAA8QMAAA4AAAAAAAAAAQAgAAAAJAEAAGRycy9lMm9Eb2MueG1sUEsF&#10;BgAAAAAGAAYAWQEAAIsFAAAAAA==&#10;">
                      <v:path/>
                      <v:fill focussize="0,0"/>
                      <v:stroke on="f"/>
                      <v:imagedata o:title=""/>
                      <o:lock v:ext="edit"/>
                    </v:rect>
                  </w:pict>
                </w:r>
                <w:r>
                  <w:fldChar w:fldCharType="begin">
                    <w:ffData>
                      <w:name w:val="BAH"/>
                      <w:enabled/>
                      <w:calcOnExit w:val="0"/>
                      <w:textInput/>
                    </w:ffData>
                  </w:fldChar>
                </w:r>
                <w:bookmarkStart w:id="6" w:name="BAH"/>
                <w:r>
                  <w:instrText xml:space="preserve"> FORMTEXT </w:instrText>
                </w:r>
                <w:r>
                  <w:fldChar w:fldCharType="separate"/>
                </w:r>
                <w:r>
                  <w:t>     </w:t>
                </w:r>
                <w:r>
                  <w:fldChar w:fldCharType="end"/>
                </w:r>
                <w:bookmarkEnd w:id="6"/>
              </w:p>
            </w:tc>
          </w:tr>
        </w:tbl>
        <w:p w14:paraId="1885AE0B">
          <w:pPr>
            <w:pStyle w:val="73"/>
            <w:framePr w:w="5108" w:wrap="around" w:vAnchor="margin" w:hAnchor="page" w:x="5376"/>
          </w:pPr>
          <w:r>
            <w:rPr>
              <w:rFonts w:hint="eastAsia"/>
              <w:w w:val="100"/>
              <w:lang w:val="en-US" w:eastAsia="zh-CN"/>
            </w:rPr>
            <w:t>T</w:t>
          </w:r>
          <w:r>
            <w:rPr>
              <w:w w:val="100"/>
            </w:rPr>
            <w:t>/</w:t>
          </w:r>
          <w:r>
            <w:rPr>
              <w:w w:val="100"/>
              <w:sz w:val="21"/>
              <w:szCs w:val="21"/>
            </w:rPr>
            <w:t xml:space="preserve"> </w:t>
          </w:r>
          <w:bookmarkStart w:id="7" w:name="c1"/>
          <w:r>
            <w:rPr>
              <w:rFonts w:ascii="Times New Roman" w:hAnsi="Times New Roman" w:eastAsia="宋体" w:cs="Times New Roman"/>
              <w:b/>
              <w:w w:val="100"/>
              <w:sz w:val="96"/>
              <w:lang w:val="en-US" w:eastAsia="zh-CN" w:bidi="ar-SA"/>
            </w:rPr>
            <w:fldChar w:fldCharType="begin">
              <w:ffData>
                <w:name w:val="c1"/>
                <w:enabled/>
                <w:calcOnExit w:val="0"/>
                <w:textInput>
                  <w:default w:val="CNS"/>
                  <w:maxLength w:val="7"/>
                </w:textInput>
              </w:ffData>
            </w:fldChar>
          </w:r>
          <w:r>
            <w:rPr>
              <w:rFonts w:ascii="Times New Roman" w:hAnsi="Times New Roman" w:eastAsia="宋体" w:cs="Times New Roman"/>
              <w:b/>
              <w:w w:val="100"/>
              <w:sz w:val="96"/>
              <w:lang w:val="en-US" w:eastAsia="zh-CN" w:bidi="ar-SA"/>
            </w:rPr>
            <w:instrText xml:space="preserve">FORMTEXT</w:instrText>
          </w:r>
          <w:r>
            <w:rPr>
              <w:rFonts w:ascii="Times New Roman" w:hAnsi="Times New Roman" w:eastAsia="宋体" w:cs="Times New Roman"/>
              <w:b/>
              <w:w w:val="100"/>
              <w:sz w:val="96"/>
              <w:lang w:val="en-US" w:eastAsia="zh-CN" w:bidi="ar-SA"/>
            </w:rPr>
            <w:fldChar w:fldCharType="separate"/>
          </w:r>
          <w:r>
            <w:rPr>
              <w:rFonts w:ascii="Times New Roman" w:hAnsi="Times New Roman" w:eastAsia="宋体" w:cs="Times New Roman"/>
              <w:b/>
              <w:w w:val="100"/>
              <w:sz w:val="96"/>
              <w:lang w:val="en-US" w:eastAsia="zh-CN" w:bidi="ar-SA"/>
            </w:rPr>
            <w:t>CNS</w:t>
          </w:r>
          <w:r>
            <w:rPr>
              <w:rFonts w:ascii="Times New Roman" w:hAnsi="Times New Roman" w:eastAsia="宋体" w:cs="Times New Roman"/>
              <w:b/>
              <w:w w:val="100"/>
              <w:sz w:val="96"/>
              <w:lang w:val="en-US" w:eastAsia="zh-CN" w:bidi="ar-SA"/>
            </w:rPr>
            <w:fldChar w:fldCharType="end"/>
          </w:r>
          <w:bookmarkEnd w:id="7"/>
        </w:p>
        <w:p w14:paraId="5B728907">
          <w:pPr>
            <w:pStyle w:val="118"/>
            <w:framePr w:wrap="around"/>
            <w:rPr>
              <w:rFonts w:hint="eastAsia"/>
              <w:sz w:val="48"/>
              <w:szCs w:val="48"/>
            </w:rPr>
          </w:pPr>
          <w:r>
            <w:rPr>
              <w:rFonts w:hint="eastAsia"/>
              <w:sz w:val="48"/>
              <w:szCs w:val="48"/>
            </w:rPr>
            <w:t>团体标准</w:t>
          </w:r>
        </w:p>
        <w:p w14:paraId="53FFB1C0">
          <w:pPr>
            <w:pStyle w:val="54"/>
            <w:framePr w:h="1126" w:hRule="exact" w:wrap="around" w:y="3016"/>
            <w:rPr>
              <w:rFonts w:hint="eastAsia" w:hAnsi="黑体"/>
            </w:rPr>
          </w:pPr>
          <w:r>
            <w:rPr>
              <w:rFonts w:hint="eastAsia" w:ascii="Times New Roman"/>
              <w:b/>
              <w:bCs/>
            </w:rPr>
            <w:t>T</w:t>
          </w:r>
          <w:r>
            <w:rPr>
              <w:rFonts w:ascii="Times New Roman"/>
              <w:b/>
              <w:bCs/>
            </w:rPr>
            <w:t>/</w:t>
          </w:r>
          <w:r>
            <w:rPr>
              <w:rFonts w:hint="eastAsia" w:ascii="Times New Roman"/>
              <w:b/>
              <w:bCs/>
            </w:rPr>
            <w:t>CNS</w:t>
          </w:r>
          <w:r>
            <w:rPr>
              <w:rFonts w:ascii="Times New Roman"/>
              <w:color w:val="FF0000"/>
            </w:rPr>
            <w:t xml:space="preserve"> </w:t>
          </w:r>
          <w:r>
            <w:rPr>
              <w:rFonts w:hAnsi="黑体"/>
              <w:color w:val="auto"/>
            </w:rPr>
            <w:t>xx—</w:t>
          </w:r>
          <w:r>
            <w:rPr>
              <w:rFonts w:hint="eastAsia" w:hAnsi="黑体"/>
              <w:color w:val="auto"/>
            </w:rPr>
            <w:t>20</w:t>
          </w:r>
          <w:r>
            <w:rPr>
              <w:rFonts w:hAnsi="黑体"/>
              <w:color w:val="auto"/>
            </w:rPr>
            <w:t>2</w:t>
          </w:r>
          <w:r>
            <w:rPr>
              <w:rFonts w:hint="eastAsia" w:hAnsi="黑体"/>
              <w:color w:val="auto"/>
            </w:rPr>
            <w:t>6</w:t>
          </w:r>
        </w:p>
        <w:tbl>
          <w:tblPr>
            <w:tblStyle w:val="36"/>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6"/>
          </w:tblGrid>
          <w:tr w14:paraId="70989F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tcPr>
              <w:p w14:paraId="1352F549">
                <w:pPr>
                  <w:pStyle w:val="83"/>
                  <w:framePr w:h="1126" w:hRule="exact" w:wrap="around" w:y="3016"/>
                </w:pPr>
                <w:bookmarkStart w:id="8" w:name="DT"/>
                <w:r>
                  <w:pict>
                    <v:rect id="DT" o:spid="_x0000_s3079" o:spt="1" style="position:absolute;left:0pt;margin-left:372.8pt;margin-top:2.7pt;height:18pt;width:90pt;z-index:-251657216;mso-width-relative:page;mso-height-relative:page;" stroked="f" coordsize="21600,21600"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eYPLL1gAAAAgBAAAPAAAAAAAAAAEAIAAAACIAAABkcnMvZG93bnJldi54bWxQSwECFAAUAAAA&#10;CACHTuJAasBiT/ABAADxAwAADgAAAAAAAAABACAAAAAlAQAAZHJzL2Uyb0RvYy54bWxQSwUGAAAA&#10;AAYABgBZAQAAhwUAAAAA&#10;">
                      <v:path/>
                      <v:fill focussize="0,0"/>
                      <v:stroke on="f"/>
                      <v:imagedata o:title=""/>
                      <o:lock v:ext="edit"/>
                    </v:rect>
                  </w:pict>
                </w:r>
                <w:r>
                  <w:fldChar w:fldCharType="begin">
                    <w:ffData>
                      <w:name w:val="DT"/>
                      <w:enabled/>
                      <w:calcOnExit w:val="0"/>
                      <w:textInput/>
                    </w:ffData>
                  </w:fldChar>
                </w:r>
                <w:r>
                  <w:instrText xml:space="preserve"> FORMTEXT </w:instrText>
                </w:r>
                <w:r>
                  <w:fldChar w:fldCharType="separate"/>
                </w:r>
                <w:r>
                  <w:t>     </w:t>
                </w:r>
                <w:r>
                  <w:fldChar w:fldCharType="end"/>
                </w:r>
                <w:bookmarkEnd w:id="8"/>
              </w:p>
            </w:tc>
          </w:tr>
        </w:tbl>
        <w:p w14:paraId="2A2CC5C0">
          <w:pPr>
            <w:pStyle w:val="54"/>
            <w:framePr w:h="1126" w:hRule="exact" w:wrap="around" w:y="3016"/>
            <w:rPr>
              <w:rFonts w:hint="eastAsia" w:hAnsi="黑体"/>
            </w:rPr>
          </w:pPr>
        </w:p>
        <w:p w14:paraId="12AB2A26">
          <w:pPr>
            <w:pStyle w:val="54"/>
            <w:framePr w:h="1126" w:hRule="exact" w:wrap="around" w:y="3016"/>
            <w:rPr>
              <w:rFonts w:hint="eastAsia" w:hAnsi="黑体"/>
            </w:rPr>
          </w:pPr>
        </w:p>
        <w:p w14:paraId="4B7CADA6">
          <w:pPr>
            <w:pStyle w:val="85"/>
            <w:framePr w:wrap="around" w:x="1152" w:y="5196"/>
          </w:pPr>
          <w:r>
            <w:rPr>
              <w:rFonts w:hint="eastAsia"/>
            </w:rPr>
            <w:t>高温气冷堆核动力厂</w:t>
          </w:r>
        </w:p>
        <w:p w14:paraId="091E9BD7">
          <w:pPr>
            <w:pStyle w:val="85"/>
            <w:framePr w:wrap="around" w:x="1152" w:y="5196"/>
          </w:pPr>
          <w:r>
            <w:rPr>
              <w:rFonts w:hint="eastAsia"/>
            </w:rPr>
            <w:t>石墨堆芯支承结构设计准则</w:t>
          </w:r>
        </w:p>
        <w:p w14:paraId="764D351C">
          <w:pPr>
            <w:pStyle w:val="86"/>
            <w:framePr w:wrap="around" w:x="1152" w:y="5196"/>
            <w:rPr>
              <w:b/>
            </w:rPr>
          </w:pPr>
          <w:r>
            <w:rPr>
              <w:b/>
            </w:rPr>
            <w:t>Design criteria for graphite core support structures of high-temperature gas-cooled reactor power plant</w:t>
          </w:r>
        </w:p>
        <w:tbl>
          <w:tblPr>
            <w:tblStyle w:val="36"/>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5"/>
          </w:tblGrid>
          <w:tr w14:paraId="68CE5A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tcPr>
              <w:p w14:paraId="0AFB613F">
                <w:pPr>
                  <w:pStyle w:val="88"/>
                  <w:framePr w:wrap="around" w:x="1152" w:y="5196"/>
                </w:pPr>
                <w:r>
                  <w:rPr>
                    <w:rFonts w:hint="eastAsia"/>
                  </w:rPr>
                  <w:t>征求意见稿</w:t>
                </w:r>
                <w:r>
                  <w:pict>
                    <v:rect id="RQ" o:spid="_x0000_s3078" o:spt="1" style="position:absolute;left:0pt;margin-left:173.3pt;margin-top:45.15pt;height:20pt;width:150pt;z-index:-251655168;mso-width-relative:page;mso-height-relative:page;" stroked="f" coordsize="21600,21600" o:gfxdata="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AWJrpLVAAAACgEAAA8AAAAAAAAAAQAgAAAAIgAAAGRycy9kb3ducmV2LnhtbFBLAQIUABQAAAAI&#10;AIdO4kDDP8/X8AEAAPEDAAAOAAAAAAAAAAEAIAAAACQBAABkcnMvZTJvRG9jLnhtbFBLBQYAAAAA&#10;BgAGAFkBAACGBQAAAAA=&#10;">
                      <v:path/>
                      <v:fill focussize="0,0"/>
                      <v:stroke on="f"/>
                      <v:imagedata o:title=""/>
                      <o:lock v:ext="edit"/>
                      <w10:anchorlock/>
                    </v:rect>
                  </w:pict>
                </w:r>
                <w:r>
                  <w:pict>
                    <v:rect id="LB" o:spid="_x0000_s3077" o:spt="1" style="position:absolute;left:0pt;margin-left:193.3pt;margin-top:20.15pt;height:24pt;width:100pt;z-index:-251656192;mso-width-relative:page;mso-height-relative:page;" stroked="f" coordsize="21600,21600" o:gfxdata="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D4Yvl1gAAAAkBAAAPAAAAAAAAAAEAIAAAACIAAABkcnMvZG93bnJldi54bWxQSwECFAAUAAAA&#10;CACHTuJA5idK1vABAADxAwAADgAAAAAAAAABACAAAAAlAQAAZHJzL2Uyb0RvYy54bWxQSwUGAAAA&#10;AAYABgBZAQAAhwUAAAAA&#10;">
                      <v:path/>
                      <v:fill focussize="0,0"/>
                      <v:stroke on="f"/>
                      <v:imagedata o:title=""/>
                      <o:lock v:ext="edit"/>
                    </v:rect>
                  </w:pict>
                </w:r>
              </w:p>
            </w:tc>
          </w:tr>
          <w:tr w14:paraId="677C15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tcPr>
              <w:p w14:paraId="4F82C994">
                <w:pPr>
                  <w:pStyle w:val="89"/>
                  <w:framePr w:wrap="around" w:x="1152" w:y="5196"/>
                  <w:spacing w:before="156" w:after="156"/>
                </w:pPr>
              </w:p>
            </w:tc>
          </w:tr>
        </w:tbl>
        <w:p w14:paraId="1E49D8FB">
          <w:pPr>
            <w:pStyle w:val="140"/>
            <w:framePr w:w="4087" w:h="811" w:hRule="exact" w:wrap="around" w:hAnchor="page" w:x="1585" w:y="14137"/>
            <w:spacing w:before="156" w:after="156"/>
            <w:rPr>
              <w:color w:val="auto"/>
            </w:rPr>
          </w:pPr>
          <w:r>
            <w:rPr>
              <w:rFonts w:hint="eastAsia" w:ascii="黑体"/>
              <w:color w:val="auto"/>
            </w:rPr>
            <w:t>20</w:t>
          </w:r>
          <w:r>
            <w:rPr>
              <w:rFonts w:ascii="黑体"/>
              <w:color w:val="auto"/>
            </w:rPr>
            <w:t>2</w:t>
          </w:r>
          <w:r>
            <w:rPr>
              <w:rFonts w:hint="eastAsia" w:ascii="黑体"/>
              <w:color w:val="auto"/>
            </w:rPr>
            <w:t>6</w:t>
          </w:r>
          <w:r>
            <w:rPr>
              <w:rFonts w:ascii="黑体"/>
              <w:color w:val="auto"/>
            </w:rPr>
            <w:t>-</w:t>
          </w:r>
          <w:r>
            <w:rPr>
              <w:color w:val="auto"/>
            </w:rPr>
            <w:t xml:space="preserve"> </w:t>
          </w:r>
          <w:r>
            <w:rPr>
              <w:rFonts w:ascii="黑体"/>
              <w:color w:val="auto"/>
            </w:rPr>
            <w:t>xx</w:t>
          </w:r>
          <w:r>
            <w:rPr>
              <w:color w:val="auto"/>
            </w:rPr>
            <w:t xml:space="preserve"> </w:t>
          </w:r>
          <w:r>
            <w:rPr>
              <w:rFonts w:ascii="黑体"/>
              <w:color w:val="auto"/>
            </w:rPr>
            <w:t>-</w:t>
          </w:r>
          <w:r>
            <w:rPr>
              <w:color w:val="auto"/>
            </w:rPr>
            <w:t xml:space="preserve"> </w:t>
          </w:r>
          <w:r>
            <w:rPr>
              <w:rFonts w:ascii="黑体"/>
              <w:color w:val="auto"/>
            </w:rPr>
            <w:t>xx</w:t>
          </w:r>
          <w:r>
            <w:rPr>
              <w:rFonts w:hint="eastAsia"/>
              <w:color w:val="auto"/>
            </w:rPr>
            <w:t>发布</w:t>
          </w:r>
        </w:p>
        <w:p w14:paraId="1215DCE5">
          <w:pPr>
            <w:pStyle w:val="140"/>
            <w:framePr w:w="4087" w:h="811" w:hRule="exact" w:wrap="around" w:hAnchor="page" w:x="1585" w:y="14137"/>
            <w:spacing w:before="156" w:after="156"/>
            <w:rPr>
              <w:color w:val="auto"/>
            </w:rPr>
          </w:pPr>
        </w:p>
        <w:p w14:paraId="6BC7EA25">
          <w:pPr>
            <w:pStyle w:val="141"/>
            <w:framePr w:wrap="around" w:hAnchor="page" w:x="6705" w:y="14343"/>
            <w:rPr>
              <w:color w:val="auto"/>
            </w:rPr>
          </w:pPr>
          <w:r>
            <w:rPr>
              <w:rFonts w:hint="eastAsia" w:ascii="黑体"/>
              <w:color w:val="auto"/>
            </w:rPr>
            <w:t>20</w:t>
          </w:r>
          <w:r>
            <w:rPr>
              <w:rFonts w:ascii="黑体"/>
              <w:color w:val="auto"/>
            </w:rPr>
            <w:t>2</w:t>
          </w:r>
          <w:r>
            <w:rPr>
              <w:rFonts w:hint="eastAsia" w:ascii="黑体"/>
              <w:color w:val="auto"/>
            </w:rPr>
            <w:t>6</w:t>
          </w:r>
          <w:r>
            <w:rPr>
              <w:color w:val="auto"/>
            </w:rPr>
            <w:t xml:space="preserve"> </w:t>
          </w:r>
          <w:r>
            <w:rPr>
              <w:rFonts w:ascii="黑体"/>
              <w:color w:val="auto"/>
            </w:rPr>
            <w:t>-</w:t>
          </w:r>
          <w:r>
            <w:rPr>
              <w:color w:val="auto"/>
            </w:rPr>
            <w:t xml:space="preserve"> </w:t>
          </w:r>
          <w:r>
            <w:rPr>
              <w:rFonts w:ascii="黑体"/>
              <w:color w:val="auto"/>
            </w:rPr>
            <w:t>xx</w:t>
          </w:r>
          <w:r>
            <w:rPr>
              <w:color w:val="auto"/>
            </w:rPr>
            <w:t xml:space="preserve"> </w:t>
          </w:r>
          <w:r>
            <w:rPr>
              <w:rFonts w:ascii="黑体"/>
              <w:color w:val="auto"/>
            </w:rPr>
            <w:t>-</w:t>
          </w:r>
          <w:r>
            <w:rPr>
              <w:color w:val="auto"/>
            </w:rPr>
            <w:t xml:space="preserve"> </w:t>
          </w:r>
          <w:r>
            <w:rPr>
              <w:rFonts w:ascii="黑体"/>
              <w:color w:val="auto"/>
            </w:rPr>
            <w:t>xx</w:t>
          </w:r>
          <w:r>
            <w:rPr>
              <w:rFonts w:hint="eastAsia"/>
              <w:color w:val="auto"/>
            </w:rPr>
            <w:t>实施</w:t>
          </w:r>
        </w:p>
        <w:p w14:paraId="6F6E8D0B">
          <w:pPr>
            <w:pStyle w:val="119"/>
            <w:framePr w:wrap="around"/>
          </w:pPr>
          <w:r>
            <w:rPr>
              <w:rFonts w:hint="eastAsia"/>
            </w:rPr>
            <w:t>中国核学会</w:t>
          </w:r>
          <w:r>
            <w:rPr>
              <w:rFonts w:hint="eastAsia" w:ascii="MS Mincho" w:hAnsi="MS Mincho" w:eastAsia="MS Mincho" w:cs="MS Mincho"/>
            </w:rPr>
            <w:t>   </w:t>
          </w:r>
          <w:r>
            <w:rPr>
              <w:rStyle w:val="80"/>
              <w:rFonts w:hint="eastAsia"/>
            </w:rPr>
            <w:t>发布</w:t>
          </w:r>
        </w:p>
        <w:p w14:paraId="7F25C5B8">
          <w:r>
            <w:pict>
              <v:line id="Line 11" o:spid="_x0000_s3075" o:spt="20" style="position:absolute;left:0pt;margin-left:-9.25pt;margin-top:179.3pt;height:0pt;width:481.9pt;z-index:251663360;mso-width-relative:page;mso-height-relative:page;" coordsize="21600,21600" o:gfxdata="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DvKASy&#10;2AAAAAsBAAAPAAAAAAAAAAEAIAAAACIAAABkcnMvZG93bnJldi54bWxQSwECFAAUAAAACACHTuJA&#10;+JXo6a8BAABvAwAADgAAAAAAAAABACAAAAAnAQAAZHJzL2Uyb0RvYy54bWxQSwUGAAAAAAYABgBZ&#10;AQAASAUAAAAA&#10;">
                <v:path arrowok="t"/>
                <v:fill focussize="0,0"/>
                <v:stroke/>
                <v:imagedata o:title=""/>
                <o:lock v:ext="edit"/>
              </v:line>
            </w:pict>
          </w:r>
        </w:p>
        <w:tbl>
          <w:tblPr>
            <w:tblStyle w:val="36"/>
            <w:tblpPr w:leftFromText="187" w:rightFromText="187" w:horzAnchor="margin" w:tblpXSpec="center" w:tblpYSpec="bottom"/>
            <w:tblW w:w="3857" w:type="pct"/>
            <w:tblInd w:w="0" w:type="dxa"/>
            <w:tblLayout w:type="autofit"/>
            <w:tblCellMar>
              <w:top w:w="0" w:type="dxa"/>
              <w:left w:w="108" w:type="dxa"/>
              <w:bottom w:w="0" w:type="dxa"/>
              <w:right w:w="108" w:type="dxa"/>
            </w:tblCellMar>
          </w:tblPr>
          <w:tblGrid>
            <w:gridCol w:w="7394"/>
          </w:tblGrid>
          <w:tr w14:paraId="30E4B00A">
            <w:tblPrEx>
              <w:tblCellMar>
                <w:top w:w="0" w:type="dxa"/>
                <w:left w:w="108" w:type="dxa"/>
                <w:bottom w:w="0" w:type="dxa"/>
                <w:right w:w="108" w:type="dxa"/>
              </w:tblCellMar>
            </w:tblPrEx>
            <w:tc>
              <w:tcPr>
                <w:tcW w:w="7216" w:type="dxa"/>
                <w:tcMar>
                  <w:top w:w="216" w:type="dxa"/>
                  <w:left w:w="115" w:type="dxa"/>
                  <w:bottom w:w="216" w:type="dxa"/>
                  <w:right w:w="115" w:type="dxa"/>
                </w:tcMar>
              </w:tcPr>
              <w:p w14:paraId="671F253E">
                <w:pPr>
                  <w:pStyle w:val="171"/>
                  <w:rPr>
                    <w:color w:val="5B9BD5" w:themeColor="accent1"/>
                  </w:rPr>
                </w:pPr>
              </w:p>
            </w:tc>
          </w:tr>
        </w:tbl>
        <w:p w14:paraId="5042346B">
          <w:pPr>
            <w:widowControl/>
            <w:jc w:val="left"/>
            <w:rPr>
              <w:rFonts w:ascii="黑体" w:eastAsia="黑体"/>
              <w:kern w:val="0"/>
              <w:sz w:val="32"/>
              <w:szCs w:val="20"/>
            </w:rPr>
          </w:pPr>
          <w:r>
            <w:pict>
              <v:line id="直接连接符 1" o:spid="_x0000_s3074" o:spt="20" style="position:absolute;left:0pt;margin-top:518.35pt;height:0.85pt;width:466pt;mso-position-horizontal:right;mso-position-horizontal-relative:margin;z-index:251664384;mso-width-relative:page;mso-height-relative:page;" stroked="t" coordsize="21600,21600" o:gfxdata="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ZkYGlNcAAAAKAQAADwAAAAAAAAABACAAAAAiAAAAZHJzL2Rvd25yZXYueG1sUEsBAhQAFAAA&#10;AAgAh07iQAZbygjwAQAAvgMAAA4AAAAAAAAAAQAgAAAAJgEAAGRycy9lMm9Eb2MueG1sUEsFBgAA&#10;AAAGAAYAWQEAAIgFAAAAAA==&#10;">
                <v:path arrowok="t"/>
                <v:fill focussize="0,0"/>
                <v:stroke weight="0.5pt" color="#000000" joinstyle="miter"/>
                <v:imagedata o:title=""/>
                <o:lock v:ext="edit"/>
              </v:line>
            </w:pict>
          </w:r>
          <w:r>
            <w:br w:type="page"/>
          </w:r>
        </w:p>
      </w:sdtContent>
    </w:sdt>
    <w:p w14:paraId="16E1BCF9">
      <w:pPr>
        <w:pStyle w:val="57"/>
        <w:tabs>
          <w:tab w:val="left" w:pos="3586"/>
          <w:tab w:val="center" w:pos="4677"/>
          <w:tab w:val="left" w:pos="8081"/>
          <w:tab w:val="right" w:pos="9355"/>
        </w:tabs>
        <w:jc w:val="left"/>
      </w:pPr>
      <w:r>
        <w:tab/>
      </w:r>
      <w:r>
        <w:tab/>
      </w:r>
      <w:r>
        <w:rPr>
          <w:rFonts w:hint="eastAsia"/>
        </w:rPr>
        <w:t>目</w:t>
      </w:r>
      <w:bookmarkStart w:id="9" w:name="BKML"/>
      <w:r>
        <w:rPr>
          <w:rFonts w:hint="eastAsia" w:ascii="MS Mincho" w:hAnsi="MS Mincho" w:eastAsia="MS Mincho" w:cs="MS Mincho"/>
        </w:rPr>
        <w:t>  </w:t>
      </w:r>
      <w:r>
        <w:rPr>
          <w:rFonts w:hint="eastAsia"/>
        </w:rPr>
        <w:t>次</w:t>
      </w:r>
      <w:bookmarkEnd w:id="9"/>
      <w:r>
        <w:tab/>
      </w:r>
      <w:r>
        <w:tab/>
      </w:r>
    </w:p>
    <w:p w14:paraId="6D1B5699">
      <w:pPr>
        <w:pStyle w:val="21"/>
        <w:spacing w:before="78" w:after="78"/>
        <w:rPr>
          <w:rFonts w:asciiTheme="minorHAnsi" w:hAnsiTheme="minorHAnsi" w:eastAsiaTheme="minorEastAsia" w:cstheme="minorBidi"/>
          <w:sz w:val="22"/>
          <w:szCs w:val="24"/>
        </w:rPr>
      </w:pPr>
      <w:r>
        <w:fldChar w:fldCharType="begin"/>
      </w:r>
      <w:r>
        <w:instrText xml:space="preserve"> TOC \h \z \t "前言、引言标题,1,参考文献、索引标题,1,章标题,1,参考文献,1,附录标识,1" </w:instrText>
      </w:r>
      <w:r>
        <w:fldChar w:fldCharType="separate"/>
      </w:r>
      <w:r>
        <w:fldChar w:fldCharType="begin"/>
      </w:r>
      <w:r>
        <w:instrText xml:space="preserve"> HYPERLINK \l "_Toc221100354" </w:instrText>
      </w:r>
      <w:r>
        <w:fldChar w:fldCharType="separate"/>
      </w:r>
      <w:r>
        <w:rPr>
          <w:rStyle w:val="42"/>
          <w:rFonts w:hint="eastAsia"/>
        </w:rPr>
        <w:t>前</w:t>
      </w:r>
      <w:r>
        <w:rPr>
          <w:rStyle w:val="42"/>
        </w:rPr>
        <w:t>  </w:t>
      </w:r>
      <w:r>
        <w:rPr>
          <w:rStyle w:val="42"/>
          <w:rFonts w:hint="eastAsia"/>
        </w:rPr>
        <w:t>言</w:t>
      </w:r>
      <w:r>
        <w:rPr>
          <w:rFonts w:hint="eastAsia"/>
        </w:rPr>
        <w:tab/>
      </w:r>
      <w:r>
        <w:rPr>
          <w:rFonts w:hint="eastAsia"/>
        </w:rPr>
        <w:fldChar w:fldCharType="begin"/>
      </w:r>
      <w:r>
        <w:rPr>
          <w:rFonts w:hint="eastAsia"/>
        </w:rPr>
        <w:instrText xml:space="preserve"> </w:instrText>
      </w:r>
      <w:r>
        <w:instrText xml:space="preserve">PAGEREF _Toc221100354 \h</w:instrText>
      </w:r>
      <w:r>
        <w:rPr>
          <w:rFonts w:hint="eastAsia"/>
        </w:rPr>
        <w:instrText xml:space="preserve"> </w:instrText>
      </w:r>
      <w:r>
        <w:rPr>
          <w:rFonts w:hint="eastAsia"/>
        </w:rPr>
        <w:fldChar w:fldCharType="separate"/>
      </w:r>
      <w:r>
        <w:t>II</w:t>
      </w:r>
      <w:r>
        <w:rPr>
          <w:rFonts w:hint="eastAsia"/>
        </w:rPr>
        <w:fldChar w:fldCharType="end"/>
      </w:r>
      <w:r>
        <w:rPr>
          <w:rFonts w:hint="eastAsia"/>
        </w:rPr>
        <w:fldChar w:fldCharType="end"/>
      </w:r>
    </w:p>
    <w:p w14:paraId="4CD629FC">
      <w:pPr>
        <w:pStyle w:val="21"/>
        <w:spacing w:before="78" w:after="78"/>
        <w:rPr>
          <w:rFonts w:asciiTheme="minorHAnsi" w:hAnsiTheme="minorHAnsi" w:eastAsiaTheme="minorEastAsia" w:cstheme="minorBidi"/>
          <w:sz w:val="22"/>
          <w:szCs w:val="24"/>
        </w:rPr>
      </w:pPr>
      <w:bookmarkStart w:id="10" w:name="OLE_LINK5"/>
      <w:r>
        <w:fldChar w:fldCharType="begin"/>
      </w:r>
      <w:r>
        <w:instrText xml:space="preserve">HYPERLINK \l "_Toc221100355"</w:instrText>
      </w:r>
      <w:r>
        <w:fldChar w:fldCharType="separate"/>
      </w:r>
      <w:r>
        <w:rPr>
          <w:rStyle w:val="42"/>
          <w:rFonts w:hint="eastAsia"/>
        </w:rPr>
        <w:t>1 范围</w:t>
      </w:r>
      <w:r>
        <w:rPr>
          <w:rFonts w:hint="eastAsia"/>
        </w:rPr>
        <w:tab/>
      </w:r>
      <w:r>
        <w:rPr>
          <w:rFonts w:hint="eastAsia"/>
        </w:rPr>
        <w:fldChar w:fldCharType="begin"/>
      </w:r>
      <w:r>
        <w:rPr>
          <w:rFonts w:hint="eastAsia"/>
        </w:rPr>
        <w:instrText xml:space="preserve"> </w:instrText>
      </w:r>
      <w:r>
        <w:instrText xml:space="preserve">PAGEREF _Toc221100355 \h</w:instrText>
      </w:r>
      <w:r>
        <w:rPr>
          <w:rFonts w:hint="eastAsia"/>
        </w:rPr>
        <w:instrText xml:space="preserve"> </w:instrText>
      </w:r>
      <w:r>
        <w:rPr>
          <w:rFonts w:hint="eastAsia"/>
        </w:rPr>
        <w:fldChar w:fldCharType="separate"/>
      </w:r>
      <w:r>
        <w:t>3</w:t>
      </w:r>
      <w:r>
        <w:rPr>
          <w:rFonts w:hint="eastAsia"/>
        </w:rPr>
        <w:fldChar w:fldCharType="end"/>
      </w:r>
      <w:r>
        <w:fldChar w:fldCharType="end"/>
      </w:r>
    </w:p>
    <w:p w14:paraId="4F1592DF">
      <w:pPr>
        <w:pStyle w:val="21"/>
        <w:spacing w:before="78" w:after="78"/>
        <w:rPr>
          <w:rFonts w:asciiTheme="minorHAnsi" w:hAnsiTheme="minorHAnsi" w:eastAsiaTheme="minorEastAsia" w:cstheme="minorBidi"/>
          <w:sz w:val="22"/>
          <w:szCs w:val="24"/>
        </w:rPr>
      </w:pPr>
      <w:r>
        <w:fldChar w:fldCharType="begin"/>
      </w:r>
      <w:r>
        <w:instrText xml:space="preserve"> HYPERLINK \l "_Toc221100356" </w:instrText>
      </w:r>
      <w:r>
        <w:fldChar w:fldCharType="separate"/>
      </w:r>
      <w:r>
        <w:rPr>
          <w:rStyle w:val="42"/>
          <w:rFonts w:hint="eastAsia"/>
        </w:rPr>
        <w:t>2 规范性引用文件</w:t>
      </w:r>
      <w:r>
        <w:rPr>
          <w:rFonts w:hint="eastAsia"/>
        </w:rPr>
        <w:tab/>
      </w:r>
      <w:r>
        <w:rPr>
          <w:rFonts w:hint="eastAsia"/>
        </w:rPr>
        <w:fldChar w:fldCharType="begin"/>
      </w:r>
      <w:r>
        <w:rPr>
          <w:rFonts w:hint="eastAsia"/>
        </w:rPr>
        <w:instrText xml:space="preserve"> </w:instrText>
      </w:r>
      <w:r>
        <w:instrText xml:space="preserve">PAGEREF _Toc221100356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09B04530">
      <w:pPr>
        <w:pStyle w:val="21"/>
        <w:spacing w:before="78" w:after="78"/>
        <w:rPr>
          <w:rFonts w:asciiTheme="minorHAnsi" w:hAnsiTheme="minorHAnsi" w:eastAsiaTheme="minorEastAsia" w:cstheme="minorBidi"/>
          <w:sz w:val="22"/>
          <w:szCs w:val="24"/>
        </w:rPr>
      </w:pPr>
      <w:r>
        <w:fldChar w:fldCharType="begin"/>
      </w:r>
      <w:r>
        <w:instrText xml:space="preserve"> HYPERLINK \l "_Toc221100357" </w:instrText>
      </w:r>
      <w:r>
        <w:fldChar w:fldCharType="separate"/>
      </w:r>
      <w:r>
        <w:rPr>
          <w:rStyle w:val="42"/>
          <w:rFonts w:hint="eastAsia"/>
        </w:rPr>
        <w:t>3 术语和定义</w:t>
      </w:r>
      <w:r>
        <w:rPr>
          <w:rFonts w:hint="eastAsia"/>
        </w:rPr>
        <w:tab/>
      </w:r>
      <w:r>
        <w:rPr>
          <w:rFonts w:hint="eastAsia"/>
        </w:rPr>
        <w:fldChar w:fldCharType="begin"/>
      </w:r>
      <w:r>
        <w:rPr>
          <w:rFonts w:hint="eastAsia"/>
        </w:rPr>
        <w:instrText xml:space="preserve"> </w:instrText>
      </w:r>
      <w:r>
        <w:instrText xml:space="preserve">PAGEREF _Toc221100357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4A5B038D">
      <w:pPr>
        <w:pStyle w:val="21"/>
        <w:spacing w:before="78" w:after="78"/>
        <w:rPr>
          <w:rFonts w:asciiTheme="minorHAnsi" w:hAnsiTheme="minorHAnsi" w:eastAsiaTheme="minorEastAsia" w:cstheme="minorBidi"/>
          <w:sz w:val="22"/>
          <w:szCs w:val="24"/>
        </w:rPr>
      </w:pPr>
      <w:r>
        <w:fldChar w:fldCharType="begin"/>
      </w:r>
      <w:r>
        <w:instrText xml:space="preserve"> HYPERLINK \l "_Toc221100358" </w:instrText>
      </w:r>
      <w:r>
        <w:fldChar w:fldCharType="separate"/>
      </w:r>
      <w:r>
        <w:rPr>
          <w:rStyle w:val="42"/>
          <w:rFonts w:hint="eastAsia"/>
        </w:rPr>
        <w:t>4 安全分级和质量等级</w:t>
      </w:r>
      <w:r>
        <w:rPr>
          <w:rFonts w:hint="eastAsia"/>
        </w:rPr>
        <w:tab/>
      </w:r>
      <w:r>
        <w:rPr>
          <w:rFonts w:hint="eastAsia"/>
        </w:rPr>
        <w:fldChar w:fldCharType="begin"/>
      </w:r>
      <w:r>
        <w:rPr>
          <w:rFonts w:hint="eastAsia"/>
        </w:rPr>
        <w:instrText xml:space="preserve"> </w:instrText>
      </w:r>
      <w:r>
        <w:instrText xml:space="preserve">PAGEREF _Toc221100358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20A40C25">
      <w:pPr>
        <w:pStyle w:val="21"/>
        <w:spacing w:before="78" w:after="78"/>
        <w:rPr>
          <w:rFonts w:asciiTheme="minorHAnsi" w:hAnsiTheme="minorHAnsi" w:eastAsiaTheme="minorEastAsia" w:cstheme="minorBidi"/>
          <w:sz w:val="22"/>
          <w:szCs w:val="24"/>
        </w:rPr>
      </w:pPr>
      <w:r>
        <w:fldChar w:fldCharType="begin"/>
      </w:r>
      <w:r>
        <w:instrText xml:space="preserve"> HYPERLINK \l "_Toc221100359" </w:instrText>
      </w:r>
      <w:r>
        <w:fldChar w:fldCharType="separate"/>
      </w:r>
      <w:r>
        <w:rPr>
          <w:rStyle w:val="42"/>
          <w:rFonts w:hint="eastAsia"/>
        </w:rPr>
        <w:t>5 功能要求</w:t>
      </w:r>
      <w:r>
        <w:rPr>
          <w:rFonts w:hint="eastAsia"/>
        </w:rPr>
        <w:tab/>
      </w:r>
      <w:r>
        <w:rPr>
          <w:rFonts w:hint="eastAsia"/>
        </w:rPr>
        <w:fldChar w:fldCharType="begin"/>
      </w:r>
      <w:r>
        <w:rPr>
          <w:rFonts w:hint="eastAsia"/>
        </w:rPr>
        <w:instrText xml:space="preserve"> </w:instrText>
      </w:r>
      <w:r>
        <w:instrText xml:space="preserve">PAGEREF _Toc221100359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5072ABB3">
      <w:pPr>
        <w:pStyle w:val="21"/>
        <w:spacing w:before="78" w:after="78"/>
        <w:rPr>
          <w:rFonts w:asciiTheme="minorHAnsi" w:hAnsiTheme="minorHAnsi" w:eastAsiaTheme="minorEastAsia" w:cstheme="minorBidi"/>
          <w:sz w:val="22"/>
          <w:szCs w:val="24"/>
        </w:rPr>
      </w:pPr>
      <w:r>
        <w:fldChar w:fldCharType="begin"/>
      </w:r>
      <w:r>
        <w:instrText xml:space="preserve"> HYPERLINK \l "_Toc221100360" </w:instrText>
      </w:r>
      <w:r>
        <w:fldChar w:fldCharType="separate"/>
      </w:r>
      <w:r>
        <w:rPr>
          <w:rStyle w:val="42"/>
          <w:rFonts w:hint="eastAsia"/>
        </w:rPr>
        <w:t>6 材料</w:t>
      </w:r>
      <w:r>
        <w:rPr>
          <w:rFonts w:hint="eastAsia"/>
        </w:rPr>
        <w:tab/>
      </w:r>
      <w:r>
        <w:rPr>
          <w:rFonts w:hint="eastAsia"/>
        </w:rPr>
        <w:fldChar w:fldCharType="begin"/>
      </w:r>
      <w:r>
        <w:rPr>
          <w:rFonts w:hint="eastAsia"/>
        </w:rPr>
        <w:instrText xml:space="preserve"> </w:instrText>
      </w:r>
      <w:r>
        <w:instrText xml:space="preserve">PAGEREF _Toc221100360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5A31DE13">
      <w:pPr>
        <w:pStyle w:val="21"/>
        <w:spacing w:before="78" w:after="78"/>
        <w:rPr>
          <w:rFonts w:asciiTheme="minorHAnsi" w:hAnsiTheme="minorHAnsi" w:eastAsiaTheme="minorEastAsia" w:cstheme="minorBidi"/>
          <w:sz w:val="22"/>
          <w:szCs w:val="24"/>
        </w:rPr>
      </w:pPr>
      <w:r>
        <w:fldChar w:fldCharType="begin"/>
      </w:r>
      <w:r>
        <w:instrText xml:space="preserve"> HYPERLINK \l "_Toc221100361" </w:instrText>
      </w:r>
      <w:r>
        <w:fldChar w:fldCharType="separate"/>
      </w:r>
      <w:r>
        <w:rPr>
          <w:rStyle w:val="42"/>
          <w:rFonts w:hint="eastAsia"/>
        </w:rPr>
        <w:t>7 设计</w:t>
      </w:r>
      <w:r>
        <w:rPr>
          <w:rFonts w:hint="eastAsia"/>
        </w:rPr>
        <w:tab/>
      </w:r>
      <w:r>
        <w:rPr>
          <w:rFonts w:hint="eastAsia"/>
        </w:rPr>
        <w:fldChar w:fldCharType="begin"/>
      </w:r>
      <w:r>
        <w:rPr>
          <w:rFonts w:hint="eastAsia"/>
        </w:rPr>
        <w:instrText xml:space="preserve"> </w:instrText>
      </w:r>
      <w:r>
        <w:instrText xml:space="preserve">PAGEREF _Toc221100361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462155E5">
      <w:pPr>
        <w:pStyle w:val="21"/>
        <w:spacing w:before="78" w:after="78"/>
        <w:rPr>
          <w:rFonts w:asciiTheme="minorHAnsi" w:hAnsiTheme="minorHAnsi" w:eastAsiaTheme="minorEastAsia" w:cstheme="minorBidi"/>
          <w:sz w:val="22"/>
          <w:szCs w:val="24"/>
        </w:rPr>
      </w:pPr>
      <w:r>
        <w:fldChar w:fldCharType="begin"/>
      </w:r>
      <w:r>
        <w:instrText xml:space="preserve"> HYPERLINK \l "_Toc221100362" </w:instrText>
      </w:r>
      <w:r>
        <w:fldChar w:fldCharType="separate"/>
      </w:r>
      <w:r>
        <w:rPr>
          <w:rStyle w:val="42"/>
          <w:rFonts w:hint="eastAsia"/>
        </w:rPr>
        <w:t>8 结构设计、部件制造与安装</w:t>
      </w:r>
      <w:r>
        <w:rPr>
          <w:rFonts w:hint="eastAsia"/>
        </w:rPr>
        <w:tab/>
      </w:r>
      <w:r>
        <w:rPr>
          <w:rFonts w:hint="eastAsia"/>
        </w:rPr>
        <w:fldChar w:fldCharType="begin"/>
      </w:r>
      <w:r>
        <w:rPr>
          <w:rFonts w:hint="eastAsia"/>
        </w:rPr>
        <w:instrText xml:space="preserve"> </w:instrText>
      </w:r>
      <w:r>
        <w:instrText xml:space="preserve">PAGEREF _Toc221100362 \h</w:instrText>
      </w:r>
      <w:r>
        <w:rPr>
          <w:rFonts w:hint="eastAsia"/>
        </w:rPr>
        <w:instrText xml:space="preserve"> </w:instrText>
      </w:r>
      <w:r>
        <w:rPr>
          <w:rFonts w:hint="eastAsia"/>
        </w:rPr>
        <w:fldChar w:fldCharType="separate"/>
      </w:r>
      <w:r>
        <w:t>7</w:t>
      </w:r>
      <w:r>
        <w:rPr>
          <w:rFonts w:hint="eastAsia"/>
        </w:rPr>
        <w:fldChar w:fldCharType="end"/>
      </w:r>
      <w:r>
        <w:rPr>
          <w:rFonts w:hint="eastAsia"/>
        </w:rPr>
        <w:fldChar w:fldCharType="end"/>
      </w:r>
    </w:p>
    <w:p w14:paraId="07E9079D">
      <w:pPr>
        <w:pStyle w:val="21"/>
        <w:spacing w:before="78" w:after="78"/>
        <w:rPr>
          <w:rFonts w:asciiTheme="minorHAnsi" w:hAnsiTheme="minorHAnsi" w:eastAsiaTheme="minorEastAsia" w:cstheme="minorBidi"/>
          <w:sz w:val="22"/>
          <w:szCs w:val="24"/>
        </w:rPr>
      </w:pPr>
      <w:r>
        <w:fldChar w:fldCharType="begin"/>
      </w:r>
      <w:r>
        <w:instrText xml:space="preserve"> HYPERLINK \l "_Toc221100363" </w:instrText>
      </w:r>
      <w:r>
        <w:fldChar w:fldCharType="separate"/>
      </w:r>
      <w:r>
        <w:rPr>
          <w:rStyle w:val="42"/>
          <w:rFonts w:hint="eastAsia"/>
        </w:rPr>
        <w:t>9 石墨堆芯支承结构与其它堆芯支承结构或堆体接口的设计准则</w:t>
      </w:r>
      <w:r>
        <w:rPr>
          <w:rFonts w:hint="eastAsia"/>
        </w:rPr>
        <w:tab/>
      </w:r>
      <w:r>
        <w:rPr>
          <w:rFonts w:hint="eastAsia"/>
        </w:rPr>
        <w:fldChar w:fldCharType="begin"/>
      </w:r>
      <w:r>
        <w:rPr>
          <w:rFonts w:hint="eastAsia"/>
        </w:rPr>
        <w:instrText xml:space="preserve"> </w:instrText>
      </w:r>
      <w:r>
        <w:instrText xml:space="preserve">PAGEREF _Toc221100363 \h</w:instrText>
      </w:r>
      <w:r>
        <w:rPr>
          <w:rFonts w:hint="eastAsia"/>
        </w:rPr>
        <w:instrText xml:space="preserve"> </w:instrText>
      </w:r>
      <w:r>
        <w:rPr>
          <w:rFonts w:hint="eastAsia"/>
        </w:rPr>
        <w:fldChar w:fldCharType="separate"/>
      </w:r>
      <w:r>
        <w:t>8</w:t>
      </w:r>
      <w:r>
        <w:rPr>
          <w:rFonts w:hint="eastAsia"/>
        </w:rPr>
        <w:fldChar w:fldCharType="end"/>
      </w:r>
      <w:r>
        <w:rPr>
          <w:rFonts w:hint="eastAsia"/>
        </w:rPr>
        <w:fldChar w:fldCharType="end"/>
      </w:r>
    </w:p>
    <w:bookmarkEnd w:id="10"/>
    <w:p w14:paraId="11D5C836">
      <w:pPr>
        <w:pStyle w:val="25"/>
      </w:pPr>
      <w:r>
        <w:rPr>
          <w:szCs w:val="21"/>
        </w:rPr>
        <w:fldChar w:fldCharType="end"/>
      </w:r>
    </w:p>
    <w:p w14:paraId="516E7F9B">
      <w:pPr>
        <w:pStyle w:val="120"/>
        <w:tabs>
          <w:tab w:val="left" w:pos="1527"/>
          <w:tab w:val="center" w:pos="4677"/>
        </w:tabs>
        <w:jc w:val="left"/>
      </w:pPr>
      <w:r>
        <w:tab/>
      </w:r>
      <w:r>
        <w:tab/>
      </w:r>
      <w:bookmarkStart w:id="11" w:name="_Toc221100354"/>
      <w:r>
        <w:rPr>
          <w:rFonts w:hint="eastAsia"/>
        </w:rPr>
        <w:t>前</w:t>
      </w:r>
      <w:bookmarkStart w:id="12" w:name="BKQY"/>
      <w:r>
        <w:t>  </w:t>
      </w:r>
      <w:r>
        <w:rPr>
          <w:rFonts w:hint="eastAsia"/>
        </w:rPr>
        <w:t>言</w:t>
      </w:r>
      <w:bookmarkEnd w:id="1"/>
      <w:bookmarkEnd w:id="2"/>
      <w:bookmarkEnd w:id="3"/>
      <w:bookmarkEnd w:id="4"/>
      <w:bookmarkEnd w:id="5"/>
      <w:bookmarkEnd w:id="11"/>
      <w:bookmarkEnd w:id="12"/>
    </w:p>
    <w:p w14:paraId="17223BCC">
      <w:pPr>
        <w:pStyle w:val="25"/>
        <w:rPr>
          <w:color w:val="000000" w:themeColor="text1"/>
        </w:rPr>
      </w:pPr>
      <w:r>
        <w:rPr>
          <w:rFonts w:hint="eastAsia"/>
          <w:color w:val="000000" w:themeColor="text1"/>
        </w:rPr>
        <w:t>本文件按照GB/T 1.1－20</w:t>
      </w:r>
      <w:r>
        <w:rPr>
          <w:color w:val="000000" w:themeColor="text1"/>
        </w:rPr>
        <w:t>20</w:t>
      </w:r>
      <w:r>
        <w:rPr>
          <w:rFonts w:hint="eastAsia"/>
          <w:color w:val="000000" w:themeColor="text1"/>
        </w:rPr>
        <w:t xml:space="preserve">《标准化工作导则 </w:t>
      </w:r>
      <w:r>
        <w:rPr>
          <w:color w:val="000000" w:themeColor="text1"/>
        </w:rPr>
        <w:t xml:space="preserve"> </w:t>
      </w:r>
      <w:r>
        <w:rPr>
          <w:rFonts w:hint="eastAsia"/>
          <w:color w:val="000000" w:themeColor="text1"/>
        </w:rPr>
        <w:t>第1部分：标准化文件的结构和起草规则》的规定起草。</w:t>
      </w:r>
    </w:p>
    <w:p w14:paraId="175CB676">
      <w:pPr>
        <w:pStyle w:val="25"/>
        <w:rPr>
          <w:color w:val="000000" w:themeColor="text1"/>
        </w:rPr>
      </w:pPr>
      <w:r>
        <w:rPr>
          <w:rFonts w:hint="eastAsia"/>
          <w:color w:val="000000" w:themeColor="text1"/>
        </w:rPr>
        <w:t>请注意本文件的某些内容可能涉及专利。本文件的发布机构不承担识别专利的责任。</w:t>
      </w:r>
    </w:p>
    <w:p w14:paraId="5AD08CEE">
      <w:pPr>
        <w:pStyle w:val="25"/>
        <w:rPr>
          <w:color w:val="000000" w:themeColor="text1"/>
        </w:rPr>
      </w:pPr>
      <w:r>
        <w:rPr>
          <w:rFonts w:hint="eastAsia"/>
          <w:color w:val="000000" w:themeColor="text1"/>
        </w:rPr>
        <w:t>本文件由中国</w:t>
      </w:r>
      <w:r>
        <w:rPr>
          <w:color w:val="000000" w:themeColor="text1"/>
        </w:rPr>
        <w:t>核学会</w:t>
      </w:r>
      <w:r>
        <w:rPr>
          <w:rFonts w:hint="eastAsia"/>
          <w:color w:val="000000" w:themeColor="text1"/>
        </w:rPr>
        <w:t>提出。</w:t>
      </w:r>
    </w:p>
    <w:p w14:paraId="0DBB6BEB">
      <w:pPr>
        <w:pStyle w:val="25"/>
        <w:rPr>
          <w:color w:val="000000" w:themeColor="text1"/>
        </w:rPr>
      </w:pPr>
      <w:r>
        <w:rPr>
          <w:rFonts w:hint="eastAsia"/>
          <w:color w:val="000000" w:themeColor="text1"/>
        </w:rPr>
        <w:t>本文件由核工业标准化研究所归口。</w:t>
      </w:r>
    </w:p>
    <w:p w14:paraId="6A27C799">
      <w:pPr>
        <w:pStyle w:val="25"/>
        <w:rPr>
          <w:color w:val="000000" w:themeColor="text1"/>
        </w:rPr>
      </w:pPr>
      <w:r>
        <w:rPr>
          <w:rFonts w:hint="eastAsia"/>
          <w:color w:val="000000" w:themeColor="text1"/>
        </w:rPr>
        <w:t>本文件起草单位：清华大学核能与新能源技术研究院，中核能源科技有限公司。</w:t>
      </w:r>
    </w:p>
    <w:p w14:paraId="13211F63">
      <w:pPr>
        <w:pStyle w:val="25"/>
        <w:rPr>
          <w:color w:val="000000" w:themeColor="text1"/>
        </w:rPr>
        <w:sectPr>
          <w:headerReference r:id="rId3" w:type="default"/>
          <w:footerReference r:id="rId5" w:type="default"/>
          <w:headerReference r:id="rId4" w:type="even"/>
          <w:footerReference r:id="rId6" w:type="even"/>
          <w:pgSz w:w="11906" w:h="16838"/>
          <w:pgMar w:top="567" w:right="1134" w:bottom="1134" w:left="1417" w:header="1418" w:footer="1134" w:gutter="0"/>
          <w:pgNumType w:fmt="upperRoman" w:start="0"/>
          <w:cols w:space="425" w:num="1"/>
          <w:formProt w:val="0"/>
          <w:titlePg/>
          <w:docGrid w:type="lines" w:linePitch="312" w:charSpace="0"/>
        </w:sectPr>
      </w:pPr>
      <w:r>
        <w:rPr>
          <w:rFonts w:hint="eastAsia"/>
          <w:color w:val="000000" w:themeColor="text1"/>
        </w:rPr>
        <w:t>本文件</w:t>
      </w:r>
      <w:r>
        <w:rPr>
          <w:color w:val="000000" w:themeColor="text1"/>
        </w:rPr>
        <w:t>主要起草人员：</w:t>
      </w:r>
      <w:r>
        <w:rPr>
          <w:rFonts w:hint="eastAsia" w:ascii="Times New Roman"/>
        </w:rPr>
        <w:t>史力、</w:t>
      </w:r>
      <w:r>
        <w:rPr>
          <w:rFonts w:hint="eastAsia"/>
        </w:rPr>
        <w:t>周俊杰、</w:t>
      </w:r>
      <w:r>
        <w:rPr>
          <w:rFonts w:hint="eastAsia" w:ascii="Times New Roman"/>
        </w:rPr>
        <w:t>孙立斌</w:t>
      </w:r>
      <w:r>
        <w:rPr>
          <w:rFonts w:hint="eastAsia"/>
        </w:rPr>
        <w:t>、阎慧杰、汪垠、易亚楠</w:t>
      </w:r>
      <w:r>
        <w:rPr>
          <w:rFonts w:hint="eastAsia" w:ascii="Times New Roman"/>
        </w:rPr>
        <w:t>。</w:t>
      </w:r>
    </w:p>
    <w:p w14:paraId="78BDD488">
      <w:pPr>
        <w:pStyle w:val="57"/>
      </w:pPr>
      <w:r>
        <w:rPr>
          <w:rFonts w:hint="eastAsia"/>
        </w:rPr>
        <w:t>高温气冷堆核动力厂石墨堆芯支承结构设计准则</w:t>
      </w:r>
    </w:p>
    <w:p w14:paraId="258F4EC2">
      <w:pPr>
        <w:pStyle w:val="52"/>
        <w:spacing w:before="312" w:after="312"/>
      </w:pPr>
      <w:bookmarkStart w:id="13" w:name="_Toc221100355"/>
      <w:bookmarkStart w:id="14" w:name="_Toc58350463"/>
      <w:bookmarkStart w:id="15" w:name="_Toc58350292"/>
      <w:bookmarkStart w:id="16" w:name="_Toc517957212"/>
      <w:bookmarkStart w:id="17" w:name="_Toc517860463"/>
      <w:bookmarkStart w:id="18" w:name="_Toc517864658"/>
      <w:bookmarkStart w:id="19" w:name="_Toc517864614"/>
      <w:bookmarkStart w:id="20" w:name="_Toc517867550"/>
      <w:r>
        <w:rPr>
          <w:rFonts w:hint="eastAsia"/>
        </w:rPr>
        <w:t>范围</w:t>
      </w:r>
      <w:bookmarkEnd w:id="13"/>
      <w:bookmarkEnd w:id="14"/>
      <w:bookmarkEnd w:id="15"/>
    </w:p>
    <w:p w14:paraId="05CD2AF1">
      <w:pPr>
        <w:pStyle w:val="25"/>
      </w:pPr>
      <w:r>
        <w:rPr>
          <w:rFonts w:hint="eastAsia"/>
        </w:rPr>
        <w:t>本标准规定了球床模块式高温气冷堆核动力厂石墨堆芯支承结构在设计时所必须满足的基本要求。</w:t>
      </w:r>
    </w:p>
    <w:p w14:paraId="2AF51773">
      <w:pPr>
        <w:pStyle w:val="25"/>
      </w:pPr>
      <w:r>
        <w:t>本标准</w:t>
      </w:r>
      <w:r>
        <w:rPr>
          <w:rFonts w:hint="eastAsia"/>
        </w:rPr>
        <w:t>适用于球床模块式高温气冷堆石墨堆芯支承结构的设计，</w:t>
      </w:r>
      <w:r>
        <w:t>包括侧反射层、顶反射层、底反射层、冷氦气孔道、控制和测量系统孔道、冷热气室、进球管、出球管、键销连接部件和热气导管连接处的限流组件等</w:t>
      </w:r>
      <w:r>
        <w:rPr>
          <w:rFonts w:hint="eastAsia"/>
        </w:rPr>
        <w:t>。</w:t>
      </w:r>
    </w:p>
    <w:p w14:paraId="3EC00FEB">
      <w:pPr>
        <w:pStyle w:val="52"/>
        <w:spacing w:before="312" w:after="312"/>
      </w:pPr>
      <w:bookmarkStart w:id="21" w:name="_Toc58350464"/>
      <w:bookmarkStart w:id="22" w:name="_Toc221100356"/>
      <w:bookmarkStart w:id="23" w:name="_Toc58350293"/>
      <w:r>
        <w:rPr>
          <w:rFonts w:hint="eastAsia"/>
        </w:rPr>
        <w:t>规范性引用文件</w:t>
      </w:r>
      <w:bookmarkEnd w:id="21"/>
      <w:bookmarkEnd w:id="22"/>
      <w:bookmarkEnd w:id="23"/>
    </w:p>
    <w:p w14:paraId="692F8EB3">
      <w:pPr>
        <w:ind w:firstLine="420"/>
      </w:pPr>
      <w:r>
        <w:rPr>
          <w:rFonts w:hint="eastAsia"/>
        </w:rPr>
        <w:t>本文件没有规范性引用文件。</w:t>
      </w:r>
    </w:p>
    <w:p w14:paraId="60824B2F">
      <w:pPr>
        <w:pStyle w:val="52"/>
        <w:spacing w:before="312" w:after="312"/>
      </w:pPr>
      <w:bookmarkStart w:id="24" w:name="_Toc58350294"/>
      <w:bookmarkStart w:id="25" w:name="_Toc221100357"/>
      <w:bookmarkStart w:id="26" w:name="_Toc58350465"/>
      <w:r>
        <w:rPr>
          <w:rFonts w:hint="eastAsia"/>
        </w:rPr>
        <w:t>术语和定义</w:t>
      </w:r>
      <w:bookmarkEnd w:id="24"/>
      <w:bookmarkEnd w:id="25"/>
      <w:bookmarkEnd w:id="26"/>
    </w:p>
    <w:p w14:paraId="018B21F8">
      <w:pPr>
        <w:pStyle w:val="25"/>
      </w:pPr>
      <w:r>
        <w:rPr>
          <w:rFonts w:hint="eastAsia"/>
        </w:rPr>
        <w:t>下列术语和定义适用于本文件。</w:t>
      </w:r>
    </w:p>
    <w:p w14:paraId="4E7CB1DF">
      <w:pPr>
        <w:pStyle w:val="49"/>
        <w:spacing w:before="156" w:after="156"/>
      </w:pPr>
    </w:p>
    <w:p w14:paraId="7006C071">
      <w:pPr>
        <w:pStyle w:val="49"/>
        <w:numPr>
          <w:numId w:val="0"/>
        </w:numPr>
        <w:spacing w:before="156" w:after="156"/>
        <w:ind w:firstLine="420" w:firstLineChars="200"/>
      </w:pPr>
      <w:r>
        <w:rPr>
          <w:rFonts w:hint="eastAsia"/>
        </w:rPr>
        <w:t xml:space="preserve">各向同性度  </w:t>
      </w:r>
      <w:r>
        <w:t>isotropy</w:t>
      </w:r>
    </w:p>
    <w:p w14:paraId="4E11A55D">
      <w:pPr>
        <w:pStyle w:val="25"/>
      </w:pPr>
      <w:r>
        <w:rPr>
          <w:rFonts w:hint="eastAsia"/>
        </w:rPr>
        <w:t>材料两个晶格方向（垂直与平行）上热膨胀系数的比值，一般大于1.0。</w:t>
      </w:r>
    </w:p>
    <w:p w14:paraId="5DF51FB4">
      <w:pPr>
        <w:pStyle w:val="49"/>
        <w:spacing w:before="156" w:after="156"/>
      </w:pPr>
    </w:p>
    <w:p w14:paraId="5A4D6A36">
      <w:pPr>
        <w:pStyle w:val="49"/>
        <w:numPr>
          <w:numId w:val="0"/>
        </w:numPr>
        <w:spacing w:before="156" w:after="156"/>
        <w:ind w:firstLine="420" w:firstLineChars="200"/>
      </w:pPr>
      <w:r>
        <w:rPr>
          <w:rFonts w:hint="eastAsia"/>
        </w:rPr>
        <w:t xml:space="preserve">辐照变形  </w:t>
      </w:r>
      <w:r>
        <w:t>irradiation deformation</w:t>
      </w:r>
    </w:p>
    <w:p w14:paraId="66F07EFE">
      <w:pPr>
        <w:pStyle w:val="25"/>
      </w:pPr>
      <w:r>
        <w:rPr>
          <w:rFonts w:hint="eastAsia"/>
        </w:rPr>
        <w:t>在高温快中子辐照条件下石墨体产生的变形，这种变形和温度变化及注量增加有关。一般地说，石墨在高温快中子辐照时先缩小，到达某个注量后开始肿胀。</w:t>
      </w:r>
    </w:p>
    <w:p w14:paraId="7CBDF0DD">
      <w:pPr>
        <w:pStyle w:val="49"/>
        <w:spacing w:before="156" w:after="156"/>
      </w:pPr>
    </w:p>
    <w:p w14:paraId="718347E6">
      <w:pPr>
        <w:pStyle w:val="49"/>
        <w:numPr>
          <w:numId w:val="0"/>
        </w:numPr>
        <w:spacing w:before="156" w:after="156"/>
        <w:ind w:firstLine="420" w:firstLineChars="200"/>
      </w:pPr>
      <w:r>
        <w:rPr>
          <w:rFonts w:hint="eastAsia"/>
        </w:rPr>
        <w:t xml:space="preserve">辐照蠕变  </w:t>
      </w:r>
      <w:r>
        <w:t>irradiation creep</w:t>
      </w:r>
    </w:p>
    <w:p w14:paraId="546A241C">
      <w:pPr>
        <w:pStyle w:val="25"/>
      </w:pPr>
      <w:r>
        <w:rPr>
          <w:rFonts w:hint="eastAsia"/>
        </w:rPr>
        <w:t>石墨在承受高温快中子辐照与应力条件下产生的非线性应变称为辐照蠕变，它和载荷、温度变化及注量增加有关。</w:t>
      </w:r>
    </w:p>
    <w:p w14:paraId="06F83332">
      <w:pPr>
        <w:pStyle w:val="52"/>
        <w:spacing w:before="312" w:after="312"/>
      </w:pPr>
      <w:bookmarkStart w:id="27" w:name="_Toc58350295"/>
      <w:bookmarkStart w:id="28" w:name="_Toc504579063"/>
      <w:bookmarkStart w:id="29" w:name="_Toc58350466"/>
      <w:bookmarkStart w:id="30" w:name="_Toc504579610"/>
      <w:bookmarkStart w:id="31" w:name="_Toc490662732"/>
      <w:bookmarkStart w:id="32" w:name="_Toc502135605"/>
      <w:bookmarkStart w:id="33" w:name="_Toc53066464"/>
      <w:bookmarkStart w:id="34" w:name="_Toc20302072"/>
      <w:bookmarkStart w:id="35" w:name="_Toc221100358"/>
      <w:r>
        <w:rPr>
          <w:rFonts w:hint="eastAsia"/>
        </w:rPr>
        <w:t>安全分级和质量等级</w:t>
      </w:r>
      <w:bookmarkEnd w:id="27"/>
      <w:bookmarkEnd w:id="28"/>
      <w:bookmarkEnd w:id="29"/>
      <w:bookmarkEnd w:id="30"/>
      <w:bookmarkEnd w:id="31"/>
      <w:bookmarkEnd w:id="32"/>
      <w:bookmarkEnd w:id="33"/>
      <w:bookmarkEnd w:id="34"/>
      <w:bookmarkEnd w:id="35"/>
    </w:p>
    <w:p w14:paraId="7AD0C3A7">
      <w:pPr>
        <w:pStyle w:val="49"/>
        <w:spacing w:before="156" w:after="156"/>
      </w:pPr>
      <w:bookmarkStart w:id="36" w:name="_Toc53066465"/>
      <w:r>
        <w:rPr>
          <w:rFonts w:hint="eastAsia"/>
        </w:rPr>
        <w:t>安全等级</w:t>
      </w:r>
      <w:bookmarkEnd w:id="36"/>
    </w:p>
    <w:p w14:paraId="35EECA3D">
      <w:pPr>
        <w:pStyle w:val="25"/>
      </w:pPr>
      <w:r>
        <w:rPr>
          <w:rFonts w:hint="eastAsia"/>
        </w:rPr>
        <w:t>石墨堆芯支承结构的安全分级应在技术规格书中详细规定，依据设备的功能，石墨堆芯支承结构应为安全相关级部件。</w:t>
      </w:r>
    </w:p>
    <w:p w14:paraId="24D167A5">
      <w:pPr>
        <w:pStyle w:val="49"/>
        <w:spacing w:before="156" w:after="156"/>
      </w:pPr>
      <w:bookmarkStart w:id="37" w:name="_Toc53066466"/>
      <w:r>
        <w:rPr>
          <w:rFonts w:hint="eastAsia"/>
        </w:rPr>
        <w:t>质量保证等级</w:t>
      </w:r>
      <w:bookmarkEnd w:id="37"/>
    </w:p>
    <w:p w14:paraId="1081E47C">
      <w:pPr>
        <w:pStyle w:val="25"/>
      </w:pPr>
      <w:r>
        <w:rPr>
          <w:rFonts w:hint="eastAsia"/>
        </w:rPr>
        <w:t>石墨堆芯支承结构的质量保证等级应在技术规格书中详细规定，承载并起支承作用的重要石墨堆芯支承结构应为质量保证1级（QA1）。承受快中子辐照载荷的石墨堆芯支承结构应为质量保证2级（QA2）。</w:t>
      </w:r>
    </w:p>
    <w:p w14:paraId="62271DB8">
      <w:pPr>
        <w:pStyle w:val="49"/>
        <w:spacing w:before="156" w:after="156"/>
      </w:pPr>
      <w:bookmarkStart w:id="38" w:name="_Toc53066467"/>
      <w:r>
        <w:rPr>
          <w:rFonts w:hint="eastAsia"/>
        </w:rPr>
        <w:t>抗震类别</w:t>
      </w:r>
      <w:bookmarkEnd w:id="38"/>
    </w:p>
    <w:p w14:paraId="11AC1049">
      <w:pPr>
        <w:pStyle w:val="25"/>
      </w:pPr>
      <w:r>
        <w:rPr>
          <w:rFonts w:hint="eastAsia"/>
        </w:rPr>
        <w:t>石墨堆芯支承结构的抗震类别应在技术规格书中详细规定，依据设备的功能，石墨堆芯支承结构应为抗震I类部件。</w:t>
      </w:r>
    </w:p>
    <w:p w14:paraId="10F97E57">
      <w:pPr>
        <w:pStyle w:val="52"/>
        <w:spacing w:before="312" w:after="312"/>
      </w:pPr>
      <w:bookmarkStart w:id="39" w:name="_Toc58350296"/>
      <w:bookmarkStart w:id="40" w:name="_Toc58350467"/>
      <w:bookmarkStart w:id="41" w:name="_Toc53066468"/>
      <w:bookmarkStart w:id="42" w:name="_Toc504579611"/>
      <w:bookmarkStart w:id="43" w:name="_Toc504579068"/>
      <w:bookmarkStart w:id="44" w:name="_Toc490662735"/>
      <w:bookmarkStart w:id="45" w:name="_Toc221100359"/>
      <w:bookmarkStart w:id="46" w:name="_Toc502135606"/>
      <w:bookmarkStart w:id="47" w:name="_Toc20302073"/>
      <w:r>
        <w:rPr>
          <w:rFonts w:hint="eastAsia"/>
        </w:rPr>
        <w:t>功能要求</w:t>
      </w:r>
      <w:bookmarkEnd w:id="39"/>
      <w:bookmarkEnd w:id="40"/>
      <w:bookmarkEnd w:id="41"/>
      <w:bookmarkEnd w:id="42"/>
      <w:bookmarkEnd w:id="43"/>
      <w:bookmarkEnd w:id="44"/>
      <w:bookmarkEnd w:id="45"/>
      <w:bookmarkEnd w:id="46"/>
      <w:bookmarkEnd w:id="47"/>
    </w:p>
    <w:p w14:paraId="4E707D76">
      <w:pPr>
        <w:pStyle w:val="25"/>
      </w:pPr>
      <w:r>
        <w:rPr>
          <w:rFonts w:hint="eastAsia"/>
        </w:rPr>
        <w:t>石墨堆芯支承结构的设计应至少满足以下功能：</w:t>
      </w:r>
    </w:p>
    <w:p w14:paraId="4C89F800">
      <w:pPr>
        <w:pStyle w:val="66"/>
      </w:pPr>
      <w:r>
        <w:rPr>
          <w:rFonts w:hint="eastAsia"/>
        </w:rPr>
        <w:t>组成对堆芯的中子反射层结构；</w:t>
      </w:r>
    </w:p>
    <w:p w14:paraId="63FBF38F">
      <w:pPr>
        <w:pStyle w:val="66"/>
      </w:pPr>
      <w:r>
        <w:rPr>
          <w:rFonts w:hint="eastAsia"/>
        </w:rPr>
        <w:t>形成堆芯球床与燃料球的球流通道和燃料球的进、出口管道，以保证燃料球循环的正常运行；</w:t>
      </w:r>
    </w:p>
    <w:p w14:paraId="53BBB3CD">
      <w:pPr>
        <w:pStyle w:val="66"/>
      </w:pPr>
      <w:r>
        <w:rPr>
          <w:rFonts w:hint="eastAsia"/>
        </w:rPr>
        <w:t>构成氦气冷却剂气体的流道，在堆芯出口和出口位置形成冷热气室对氦气进行混合；</w:t>
      </w:r>
    </w:p>
    <w:p w14:paraId="62EDAD2A">
      <w:pPr>
        <w:pStyle w:val="66"/>
      </w:pPr>
      <w:r>
        <w:rPr>
          <w:rFonts w:hint="eastAsia"/>
        </w:rPr>
        <w:t>为控制棒和吸收球停堆系统提供导向孔道，即使在事故情况和地震情况下，也能保证使控制棒插入和使吸收球流入其靠近堆芯部位的孔道内而使反应堆停堆；</w:t>
      </w:r>
    </w:p>
    <w:p w14:paraId="53192176">
      <w:pPr>
        <w:pStyle w:val="66"/>
      </w:pPr>
      <w:r>
        <w:rPr>
          <w:rFonts w:hint="eastAsia"/>
        </w:rPr>
        <w:t>形成对整个石墨堆芯结构的支承结构，把各种载荷最后传递给金属支承结构；</w:t>
      </w:r>
    </w:p>
    <w:p w14:paraId="062599B7">
      <w:pPr>
        <w:pStyle w:val="66"/>
      </w:pPr>
      <w:r>
        <w:rPr>
          <w:rFonts w:hint="eastAsia"/>
        </w:rPr>
        <w:t>用键和销的连结方法，形成堆芯支承结构的整体结构；</w:t>
      </w:r>
    </w:p>
    <w:p w14:paraId="6B86BFE5">
      <w:pPr>
        <w:pStyle w:val="66"/>
      </w:pPr>
      <w:r>
        <w:rPr>
          <w:rFonts w:hint="eastAsia"/>
        </w:rPr>
        <w:t>在石墨砖之间的间隙位置设计限流结构，减小反应堆旁流；</w:t>
      </w:r>
    </w:p>
    <w:p w14:paraId="2B7C99CC">
      <w:pPr>
        <w:pStyle w:val="66"/>
      </w:pPr>
      <w:r>
        <w:rPr>
          <w:rFonts w:hint="eastAsia"/>
        </w:rPr>
        <w:t>在事故工况下侧向石墨和碳结构可作为余热排出的路径。</w:t>
      </w:r>
    </w:p>
    <w:p w14:paraId="6624E646">
      <w:pPr>
        <w:pStyle w:val="52"/>
        <w:spacing w:before="312" w:after="312"/>
      </w:pPr>
      <w:bookmarkStart w:id="48" w:name="_Toc58350297"/>
      <w:bookmarkStart w:id="49" w:name="_Toc221100360"/>
      <w:bookmarkStart w:id="50" w:name="_Toc53066469"/>
      <w:bookmarkStart w:id="51" w:name="_Toc58350468"/>
      <w:r>
        <w:rPr>
          <w:rFonts w:hint="eastAsia"/>
        </w:rPr>
        <w:t>材料</w:t>
      </w:r>
      <w:bookmarkEnd w:id="48"/>
      <w:bookmarkEnd w:id="49"/>
      <w:bookmarkEnd w:id="50"/>
      <w:bookmarkEnd w:id="51"/>
    </w:p>
    <w:p w14:paraId="30A2E9FE">
      <w:pPr>
        <w:pStyle w:val="135"/>
        <w:numPr>
          <w:ilvl w:val="1"/>
          <w:numId w:val="0"/>
        </w:numPr>
        <w:ind w:firstLine="420"/>
      </w:pPr>
      <w:r>
        <w:rPr>
          <w:rFonts w:hint="eastAsia"/>
        </w:rPr>
        <w:t>为评价石墨构件的结构完整性，应获得材料在各种条件下的物理特性，在此基础上开发应力分析和失效概率计算模型。材料性能的一般要求如下：</w:t>
      </w:r>
    </w:p>
    <w:p w14:paraId="74F77196">
      <w:pPr>
        <w:pStyle w:val="66"/>
        <w:numPr>
          <w:ilvl w:val="0"/>
          <w:numId w:val="11"/>
        </w:numPr>
      </w:pPr>
      <w:r>
        <w:rPr>
          <w:rFonts w:hint="eastAsia"/>
        </w:rPr>
        <w:t>材料生产厂家应按照技术规格书中的要求开展材料工艺评定、生产与测试，并提供设计所需的材料试验数据，编制材料数据书，设计方应对相应数据合理性进行确认。</w:t>
      </w:r>
    </w:p>
    <w:p w14:paraId="53CD9029">
      <w:pPr>
        <w:pStyle w:val="66"/>
        <w:numPr>
          <w:ilvl w:val="0"/>
          <w:numId w:val="11"/>
        </w:numPr>
      </w:pPr>
      <w:r>
        <w:rPr>
          <w:rFonts w:hint="eastAsia"/>
        </w:rPr>
        <w:t>石墨材料应考虑以下物理特性，这些性能的测试应考虑批次、坯料和取样位置的影响，详细要求和限值应在材料技术规格书中规定。</w:t>
      </w:r>
    </w:p>
    <w:p w14:paraId="10205ABA">
      <w:pPr>
        <w:pStyle w:val="61"/>
        <w:numPr>
          <w:ilvl w:val="1"/>
          <w:numId w:val="11"/>
        </w:numPr>
      </w:pPr>
      <w:r>
        <w:rPr>
          <w:rFonts w:hint="eastAsia"/>
        </w:rPr>
        <w:t>石墨材料未辐照的特性数据，包括：</w:t>
      </w:r>
    </w:p>
    <w:p w14:paraId="44453F47">
      <w:pPr>
        <w:pStyle w:val="56"/>
      </w:pPr>
      <w:r>
        <w:rPr>
          <w:rFonts w:hint="eastAsia"/>
        </w:rPr>
        <w:t>材料牌号、化学成份、硼当量或灰份等材料基本参数；</w:t>
      </w:r>
    </w:p>
    <w:p w14:paraId="2F9958FE">
      <w:pPr>
        <w:pStyle w:val="56"/>
      </w:pPr>
      <w:r>
        <w:rPr>
          <w:rFonts w:hint="eastAsia"/>
        </w:rPr>
        <w:t>密度、各向异性因子、泊松比和比热等物理量；</w:t>
      </w:r>
    </w:p>
    <w:p w14:paraId="28F7C5B7">
      <w:pPr>
        <w:pStyle w:val="56"/>
      </w:pPr>
      <w:r>
        <w:rPr>
          <w:rFonts w:hint="eastAsia"/>
        </w:rPr>
        <w:t>弹性模量（动态和静态）、拉伸强度、弯曲强度、压缩强度、断裂韧性、热膨胀系数和热导率等参数在材料的两个方向上随温度的变化，温度间隔应不大于200℃，最高温度应不低于反应堆运行过程中石墨构件上的最高温度；</w:t>
      </w:r>
    </w:p>
    <w:p w14:paraId="4468D539">
      <w:pPr>
        <w:pStyle w:val="56"/>
      </w:pPr>
      <w:r>
        <w:rPr>
          <w:rFonts w:hint="eastAsia"/>
        </w:rPr>
        <w:t>石墨材料强度Weibull分布的两个特性参数Sc和m；</w:t>
      </w:r>
    </w:p>
    <w:p w14:paraId="04C8BA16">
      <w:pPr>
        <w:pStyle w:val="56"/>
      </w:pPr>
      <w:r>
        <w:rPr>
          <w:rFonts w:hint="eastAsia"/>
        </w:rPr>
        <w:t>石墨疲劳性能数据；</w:t>
      </w:r>
    </w:p>
    <w:p w14:paraId="23979152">
      <w:pPr>
        <w:pStyle w:val="56"/>
      </w:pPr>
      <w:r>
        <w:rPr>
          <w:rFonts w:hint="eastAsia"/>
        </w:rPr>
        <w:t>石墨材料氧化数据，包括不同氧化条件下材料强度、弹性模量和导热率的变化。</w:t>
      </w:r>
    </w:p>
    <w:p w14:paraId="08AEBA87">
      <w:pPr>
        <w:pStyle w:val="61"/>
        <w:numPr>
          <w:ilvl w:val="1"/>
          <w:numId w:val="11"/>
        </w:numPr>
      </w:pPr>
      <w:r>
        <w:rPr>
          <w:rFonts w:hint="eastAsia"/>
        </w:rPr>
        <w:t>用作反射层石墨材料辐照后的特性数据，应至少包括材料以下物理性能随快中子（能量E&gt;0.1Mev）注量和温度的变化，其中辐照变形、热膨胀系数和弹性魔力应考虑材料成型方向的影响。中子注量应至少包络反应堆中石墨材料在不同温度下的最大值，温度间隔满足技术规格书中的规定：</w:t>
      </w:r>
    </w:p>
    <w:p w14:paraId="32368850">
      <w:pPr>
        <w:pStyle w:val="56"/>
      </w:pPr>
      <w:r>
        <w:rPr>
          <w:rFonts w:hint="eastAsia"/>
        </w:rPr>
        <w:t>辐照变形；</w:t>
      </w:r>
    </w:p>
    <w:p w14:paraId="71183289">
      <w:pPr>
        <w:pStyle w:val="56"/>
      </w:pPr>
      <w:r>
        <w:rPr>
          <w:rFonts w:hint="eastAsia"/>
        </w:rPr>
        <w:t>蠕变系数；</w:t>
      </w:r>
    </w:p>
    <w:p w14:paraId="4857AAEE">
      <w:pPr>
        <w:pStyle w:val="56"/>
      </w:pPr>
      <w:r>
        <w:rPr>
          <w:rFonts w:hint="eastAsia"/>
        </w:rPr>
        <w:t>热膨胀系数；</w:t>
      </w:r>
    </w:p>
    <w:p w14:paraId="66453B5C">
      <w:pPr>
        <w:pStyle w:val="56"/>
      </w:pPr>
      <w:r>
        <w:rPr>
          <w:rFonts w:hint="eastAsia"/>
        </w:rPr>
        <w:t>热导率；</w:t>
      </w:r>
    </w:p>
    <w:p w14:paraId="09031C88">
      <w:pPr>
        <w:pStyle w:val="56"/>
      </w:pPr>
      <w:r>
        <w:rPr>
          <w:rFonts w:hint="eastAsia"/>
        </w:rPr>
        <w:t>弹性模量；</w:t>
      </w:r>
    </w:p>
    <w:p w14:paraId="576A344B">
      <w:pPr>
        <w:pStyle w:val="56"/>
      </w:pPr>
      <w:r>
        <w:rPr>
          <w:rFonts w:hint="eastAsia"/>
        </w:rPr>
        <w:t>强度。</w:t>
      </w:r>
    </w:p>
    <w:p w14:paraId="20650581">
      <w:pPr>
        <w:pStyle w:val="61"/>
        <w:numPr>
          <w:ilvl w:val="1"/>
          <w:numId w:val="11"/>
        </w:numPr>
      </w:pPr>
      <w:r>
        <w:rPr>
          <w:rFonts w:hint="eastAsia"/>
        </w:rPr>
        <w:tab/>
      </w:r>
      <w:r>
        <w:rPr>
          <w:rFonts w:hint="eastAsia"/>
        </w:rPr>
        <w:t>除了以上材料性能之外，辐照后断裂韧性和微观结构的变化也可以为石墨构件的结构完整性评价提供额外的参考依据，以提高失效概率分析的可靠性。</w:t>
      </w:r>
    </w:p>
    <w:p w14:paraId="5E90DAB0">
      <w:pPr>
        <w:pStyle w:val="66"/>
        <w:numPr>
          <w:ilvl w:val="0"/>
          <w:numId w:val="11"/>
        </w:numPr>
      </w:pPr>
      <w:r>
        <w:rPr>
          <w:rFonts w:hint="eastAsia"/>
        </w:rPr>
        <w:t>材料的验收：</w:t>
      </w:r>
    </w:p>
    <w:p w14:paraId="76226DF2">
      <w:pPr>
        <w:pStyle w:val="61"/>
        <w:numPr>
          <w:ilvl w:val="1"/>
          <w:numId w:val="12"/>
        </w:numPr>
      </w:pPr>
      <w:r>
        <w:rPr>
          <w:rFonts w:hint="eastAsia"/>
        </w:rPr>
        <w:t>应制定专门的验收标准文件或者采用已有的成熟验收标准对所接收的石墨材料进行验收；</w:t>
      </w:r>
    </w:p>
    <w:p w14:paraId="21E0DF37">
      <w:pPr>
        <w:pStyle w:val="61"/>
        <w:numPr>
          <w:ilvl w:val="1"/>
          <w:numId w:val="12"/>
        </w:numPr>
      </w:pPr>
      <w:r>
        <w:rPr>
          <w:rFonts w:hint="eastAsia"/>
        </w:rPr>
        <w:t>对石墨和碳材料各种特性的验收试验标准应和生产中所采用的试验标准一致；</w:t>
      </w:r>
    </w:p>
    <w:p w14:paraId="4AE01606">
      <w:pPr>
        <w:pStyle w:val="61"/>
        <w:numPr>
          <w:ilvl w:val="1"/>
          <w:numId w:val="12"/>
        </w:numPr>
      </w:pPr>
      <w:r>
        <w:rPr>
          <w:rFonts w:hint="eastAsia"/>
        </w:rPr>
        <w:t>材料检测应考虑表面缺陷检测和三维体积无损检测，并满足技术规格书的要求；</w:t>
      </w:r>
    </w:p>
    <w:p w14:paraId="11B9C43E">
      <w:pPr>
        <w:pStyle w:val="61"/>
        <w:numPr>
          <w:ilvl w:val="1"/>
          <w:numId w:val="12"/>
        </w:numPr>
      </w:pPr>
      <w:r>
        <w:rPr>
          <w:rFonts w:hint="eastAsia"/>
        </w:rPr>
        <w:t>对不合格材料或者产品的维修满足技术规格书中的规定。</w:t>
      </w:r>
    </w:p>
    <w:p w14:paraId="1EAA2CC2">
      <w:pPr>
        <w:pStyle w:val="66"/>
        <w:numPr>
          <w:ilvl w:val="0"/>
          <w:numId w:val="13"/>
        </w:numPr>
      </w:pPr>
      <w:r>
        <w:rPr>
          <w:rFonts w:hint="eastAsia"/>
        </w:rPr>
        <w:t>包装、运输和存储应按照技术规格书的要求执行。</w:t>
      </w:r>
    </w:p>
    <w:p w14:paraId="0183C4BB">
      <w:pPr>
        <w:pStyle w:val="66"/>
        <w:numPr>
          <w:ilvl w:val="0"/>
          <w:numId w:val="13"/>
        </w:numPr>
      </w:pPr>
      <w:r>
        <w:rPr>
          <w:rFonts w:hint="eastAsia"/>
        </w:rPr>
        <w:t>在役检查和辐照监督：</w:t>
      </w:r>
    </w:p>
    <w:p w14:paraId="371EDA87">
      <w:pPr>
        <w:pStyle w:val="61"/>
        <w:numPr>
          <w:ilvl w:val="1"/>
          <w:numId w:val="13"/>
        </w:numPr>
      </w:pPr>
      <w:r>
        <w:rPr>
          <w:rFonts w:hint="eastAsia"/>
        </w:rPr>
        <w:t>在设计中应尽可能考虑反射层石墨砖的在役检查；</w:t>
      </w:r>
    </w:p>
    <w:p w14:paraId="35B24769">
      <w:pPr>
        <w:pStyle w:val="61"/>
        <w:numPr>
          <w:ilvl w:val="1"/>
          <w:numId w:val="13"/>
        </w:numPr>
      </w:pPr>
      <w:r>
        <w:rPr>
          <w:rFonts w:hint="eastAsia"/>
        </w:rPr>
        <w:t>应根据堆芯支承结构的运行具体条件和要求编制石墨砖的辐照监督规则。</w:t>
      </w:r>
    </w:p>
    <w:p w14:paraId="136A4856">
      <w:pPr>
        <w:pStyle w:val="52"/>
        <w:spacing w:before="312" w:after="312"/>
      </w:pPr>
      <w:bookmarkStart w:id="52" w:name="_Toc221100361"/>
      <w:bookmarkStart w:id="53" w:name="_Toc53066470"/>
      <w:bookmarkStart w:id="54" w:name="_Toc58350469"/>
      <w:bookmarkStart w:id="55" w:name="_Toc58350298"/>
      <w:r>
        <w:rPr>
          <w:rFonts w:hint="eastAsia"/>
        </w:rPr>
        <w:t>设计</w:t>
      </w:r>
      <w:bookmarkEnd w:id="52"/>
      <w:bookmarkEnd w:id="53"/>
      <w:bookmarkEnd w:id="54"/>
      <w:bookmarkEnd w:id="55"/>
    </w:p>
    <w:p w14:paraId="6F65BFC4">
      <w:pPr>
        <w:pStyle w:val="49"/>
        <w:spacing w:before="156" w:after="156"/>
      </w:pPr>
      <w:bookmarkStart w:id="56" w:name="_Toc53066472"/>
      <w:r>
        <w:rPr>
          <w:rFonts w:hint="eastAsia"/>
        </w:rPr>
        <w:t>载荷</w:t>
      </w:r>
      <w:bookmarkEnd w:id="56"/>
    </w:p>
    <w:p w14:paraId="2D7AA8B5">
      <w:pPr>
        <w:pStyle w:val="53"/>
        <w:spacing w:before="156" w:after="156"/>
        <w:ind w:left="848" w:hanging="848"/>
      </w:pPr>
      <w:r>
        <w:rPr>
          <w:rFonts w:hint="eastAsia"/>
        </w:rPr>
        <w:t>设计载荷</w:t>
      </w:r>
    </w:p>
    <w:p w14:paraId="55A6EDD0">
      <w:pPr>
        <w:pStyle w:val="25"/>
      </w:pPr>
      <w:r>
        <w:rPr>
          <w:rFonts w:hint="eastAsia"/>
        </w:rPr>
        <w:t>设计载荷要求如下：</w:t>
      </w:r>
    </w:p>
    <w:p w14:paraId="7FFE1807">
      <w:pPr>
        <w:pStyle w:val="66"/>
        <w:numPr>
          <w:ilvl w:val="0"/>
          <w:numId w:val="14"/>
        </w:numPr>
      </w:pPr>
      <w:r>
        <w:rPr>
          <w:rFonts w:hint="eastAsia"/>
        </w:rPr>
        <w:t>正常运行条件下堆芯与冷却剂通道氦气压差的包络值；</w:t>
      </w:r>
    </w:p>
    <w:p w14:paraId="51ECD215">
      <w:pPr>
        <w:pStyle w:val="66"/>
        <w:numPr>
          <w:ilvl w:val="0"/>
          <w:numId w:val="14"/>
        </w:numPr>
      </w:pPr>
      <w:r>
        <w:rPr>
          <w:rFonts w:hint="eastAsia"/>
        </w:rPr>
        <w:t>设计温度：正常运行条件下石墨或者碳构件温度分布；</w:t>
      </w:r>
    </w:p>
    <w:p w14:paraId="05444E1E">
      <w:pPr>
        <w:pStyle w:val="66"/>
        <w:numPr>
          <w:ilvl w:val="0"/>
          <w:numId w:val="14"/>
        </w:numPr>
      </w:pPr>
      <w:r>
        <w:rPr>
          <w:rFonts w:hint="eastAsia"/>
        </w:rPr>
        <w:t>设计中子注量：寿期内石墨构件上的中子辐照注量的包络值；</w:t>
      </w:r>
    </w:p>
    <w:p w14:paraId="28758A40">
      <w:pPr>
        <w:pStyle w:val="66"/>
        <w:numPr>
          <w:ilvl w:val="0"/>
          <w:numId w:val="13"/>
        </w:numPr>
      </w:pPr>
      <w:r>
        <w:rPr>
          <w:rFonts w:hint="eastAsia"/>
        </w:rPr>
        <w:t>设计机械载荷：重力、金属支承结构重量和燃料球床等相邻部件的作用力。</w:t>
      </w:r>
    </w:p>
    <w:p w14:paraId="40457950">
      <w:pPr>
        <w:pStyle w:val="53"/>
        <w:spacing w:before="156" w:after="156"/>
        <w:ind w:left="848" w:hanging="848"/>
      </w:pPr>
      <w:r>
        <w:rPr>
          <w:rFonts w:hint="eastAsia"/>
        </w:rPr>
        <w:t>使用载荷</w:t>
      </w:r>
    </w:p>
    <w:p w14:paraId="444BD784">
      <w:pPr>
        <w:pStyle w:val="25"/>
      </w:pPr>
      <w:r>
        <w:rPr>
          <w:rFonts w:hint="eastAsia"/>
        </w:rPr>
        <w:t>设计规格书中应给定反应堆整个寿期内需要考虑的各种载荷，并给出这些载荷的评价准则。一般而言，石墨部件需要考虑的载荷应至少包括：</w:t>
      </w:r>
    </w:p>
    <w:p w14:paraId="2C97BA8C">
      <w:pPr>
        <w:pStyle w:val="66"/>
        <w:numPr>
          <w:ilvl w:val="0"/>
          <w:numId w:val="15"/>
        </w:numPr>
      </w:pPr>
      <w:r>
        <w:rPr>
          <w:rFonts w:hint="eastAsia"/>
        </w:rPr>
        <w:t>重力（石墨或碳部件的自重、金属支承结构重量和燃料球床的作用力等）；</w:t>
      </w:r>
    </w:p>
    <w:p w14:paraId="53DC4D4C">
      <w:pPr>
        <w:pStyle w:val="66"/>
        <w:numPr>
          <w:ilvl w:val="0"/>
          <w:numId w:val="15"/>
        </w:numPr>
      </w:pPr>
      <w:r>
        <w:rPr>
          <w:rFonts w:hint="eastAsia"/>
        </w:rPr>
        <w:t>正常运行条件下的机械载荷，例如由于插入堆芯控制棒所产生的作用力；</w:t>
      </w:r>
    </w:p>
    <w:p w14:paraId="458E3E8A">
      <w:pPr>
        <w:pStyle w:val="66"/>
        <w:numPr>
          <w:ilvl w:val="0"/>
          <w:numId w:val="15"/>
        </w:numPr>
      </w:pPr>
      <w:r>
        <w:rPr>
          <w:rFonts w:hint="eastAsia"/>
        </w:rPr>
        <w:t>热物理特性和力学特性随温度变化和快中子注量变化所产生的载荷；</w:t>
      </w:r>
    </w:p>
    <w:p w14:paraId="7D021D7B">
      <w:pPr>
        <w:pStyle w:val="66"/>
        <w:numPr>
          <w:ilvl w:val="0"/>
          <w:numId w:val="15"/>
        </w:numPr>
      </w:pPr>
      <w:r>
        <w:rPr>
          <w:rFonts w:hint="eastAsia"/>
        </w:rPr>
        <w:t>预应力载荷；</w:t>
      </w:r>
    </w:p>
    <w:p w14:paraId="5531E05C">
      <w:pPr>
        <w:pStyle w:val="66"/>
        <w:numPr>
          <w:ilvl w:val="0"/>
          <w:numId w:val="15"/>
        </w:numPr>
      </w:pPr>
      <w:r>
        <w:rPr>
          <w:rFonts w:hint="eastAsia"/>
        </w:rPr>
        <w:t>地震载荷；</w:t>
      </w:r>
    </w:p>
    <w:p w14:paraId="7578F9D1">
      <w:pPr>
        <w:pStyle w:val="66"/>
        <w:numPr>
          <w:ilvl w:val="0"/>
          <w:numId w:val="15"/>
        </w:numPr>
      </w:pPr>
      <w:r>
        <w:rPr>
          <w:rFonts w:hint="eastAsia"/>
        </w:rPr>
        <w:t>各类运行环境下瞬态工况导致的冷却剂气流压差、温度变化所导致的载荷，例如反应堆功率调节、负荷阶跃变化、甩负荷、丧失场外电源、紧急停堆、破口、断管等设计基准瞬态；</w:t>
      </w:r>
    </w:p>
    <w:p w14:paraId="3D14C34F">
      <w:pPr>
        <w:pStyle w:val="66"/>
        <w:numPr>
          <w:ilvl w:val="0"/>
          <w:numId w:val="15"/>
        </w:numPr>
      </w:pPr>
      <w:r>
        <w:rPr>
          <w:rFonts w:hint="eastAsia"/>
        </w:rPr>
        <w:t>其它超设计基准载荷，例如飞行物撞击、气体混合物爆炸和热气导管双端断裂等；</w:t>
      </w:r>
    </w:p>
    <w:p w14:paraId="60957541">
      <w:pPr>
        <w:pStyle w:val="66"/>
        <w:numPr>
          <w:ilvl w:val="0"/>
          <w:numId w:val="13"/>
        </w:numPr>
      </w:pPr>
      <w:r>
        <w:rPr>
          <w:rFonts w:hint="eastAsia"/>
        </w:rPr>
        <w:t>试验载荷。</w:t>
      </w:r>
    </w:p>
    <w:p w14:paraId="60C02A5C">
      <w:pPr>
        <w:pStyle w:val="49"/>
        <w:spacing w:before="156" w:after="156"/>
      </w:pPr>
      <w:bookmarkStart w:id="57" w:name="_Toc92598352"/>
      <w:bookmarkStart w:id="58" w:name="_Toc53066474"/>
      <w:r>
        <w:rPr>
          <w:rFonts w:hint="eastAsia"/>
        </w:rPr>
        <w:t>工况分类</w:t>
      </w:r>
      <w:bookmarkEnd w:id="57"/>
      <w:bookmarkEnd w:id="58"/>
    </w:p>
    <w:p w14:paraId="4725ECE7">
      <w:pPr>
        <w:ind w:firstLine="420"/>
      </w:pPr>
      <w:r>
        <w:t>在反应堆运行过程中，反应堆冷却剂系统可能经历各种</w:t>
      </w:r>
      <w:r>
        <w:rPr>
          <w:rFonts w:hint="eastAsia"/>
        </w:rPr>
        <w:t>工况</w:t>
      </w:r>
      <w:r>
        <w:t>。根据</w:t>
      </w:r>
      <w:r>
        <w:rPr>
          <w:rFonts w:hint="eastAsia"/>
        </w:rPr>
        <w:t>高温气冷堆</w:t>
      </w:r>
      <w:r>
        <w:t>出现事件的频率及其产生的后果，</w:t>
      </w:r>
      <w:r>
        <w:rPr>
          <w:rFonts w:hint="eastAsia"/>
        </w:rPr>
        <w:t>可</w:t>
      </w:r>
      <w:r>
        <w:t>将运行及事故工况分为4类：工况</w:t>
      </w:r>
      <w:r>
        <w:fldChar w:fldCharType="begin"/>
      </w:r>
      <w:r>
        <w:instrText xml:space="preserve"> </w:instrText>
      </w:r>
      <w:r>
        <w:rPr>
          <w:rFonts w:hint="eastAsia"/>
        </w:rPr>
        <w:instrText xml:space="preserve">= 1 \* ROMAN</w:instrText>
      </w:r>
      <w:r>
        <w:instrText xml:space="preserve"> </w:instrText>
      </w:r>
      <w:r>
        <w:fldChar w:fldCharType="separate"/>
      </w:r>
      <w:r>
        <w:t>I</w:t>
      </w:r>
      <w:r>
        <w:fldChar w:fldCharType="end"/>
      </w:r>
      <w:r>
        <w:t>—正常运行工况；工况</w:t>
      </w:r>
      <w:r>
        <w:fldChar w:fldCharType="begin"/>
      </w:r>
      <w:r>
        <w:instrText xml:space="preserve"> </w:instrText>
      </w:r>
      <w:r>
        <w:rPr>
          <w:rFonts w:hint="eastAsia"/>
        </w:rPr>
        <w:instrText xml:space="preserve">= 2 \* ROMAN</w:instrText>
      </w:r>
      <w:r>
        <w:instrText xml:space="preserve"> </w:instrText>
      </w:r>
      <w:r>
        <w:fldChar w:fldCharType="separate"/>
      </w:r>
      <w:r>
        <w:t>II</w:t>
      </w:r>
      <w:r>
        <w:fldChar w:fldCharType="end"/>
      </w:r>
      <w:r>
        <w:t>—预期</w:t>
      </w:r>
      <w:r>
        <w:rPr>
          <w:rFonts w:hint="eastAsia"/>
        </w:rPr>
        <w:t>运行</w:t>
      </w:r>
      <w:r>
        <w:t>瞬态；工况</w:t>
      </w:r>
      <w:r>
        <w:fldChar w:fldCharType="begin"/>
      </w:r>
      <w:r>
        <w:instrText xml:space="preserve"> </w:instrText>
      </w:r>
      <w:r>
        <w:rPr>
          <w:rFonts w:hint="eastAsia"/>
        </w:rPr>
        <w:instrText xml:space="preserve">= 3 \* ROMAN</w:instrText>
      </w:r>
      <w:r>
        <w:instrText xml:space="preserve"> </w:instrText>
      </w:r>
      <w:r>
        <w:fldChar w:fldCharType="separate"/>
      </w:r>
      <w:r>
        <w:t>III</w:t>
      </w:r>
      <w:r>
        <w:fldChar w:fldCharType="end"/>
      </w:r>
      <w:r>
        <w:rPr>
          <w:rFonts w:hint="eastAsia"/>
        </w:rPr>
        <w:t>和</w:t>
      </w:r>
      <w:r>
        <w:fldChar w:fldCharType="begin"/>
      </w:r>
      <w:r>
        <w:instrText xml:space="preserve"> </w:instrText>
      </w:r>
      <w:r>
        <w:rPr>
          <w:rFonts w:hint="eastAsia"/>
        </w:rPr>
        <w:instrText xml:space="preserve">= 4 \* ROMAN</w:instrText>
      </w:r>
      <w:r>
        <w:instrText xml:space="preserve"> </w:instrText>
      </w:r>
      <w:r>
        <w:fldChar w:fldCharType="separate"/>
      </w:r>
      <w:r>
        <w:t>IV</w:t>
      </w:r>
      <w:r>
        <w:fldChar w:fldCharType="end"/>
      </w:r>
      <w:r>
        <w:t>—设计基准事</w:t>
      </w:r>
      <w:r>
        <w:rPr>
          <w:rFonts w:hint="eastAsia"/>
        </w:rPr>
        <w:t>故</w:t>
      </w:r>
      <w:r>
        <w:t>；工况</w:t>
      </w:r>
      <w:r>
        <w:fldChar w:fldCharType="begin"/>
      </w:r>
      <w:r>
        <w:instrText xml:space="preserve"> </w:instrText>
      </w:r>
      <w:r>
        <w:rPr>
          <w:rFonts w:hint="eastAsia"/>
        </w:rPr>
        <w:instrText xml:space="preserve">= 5 \* ROMAN</w:instrText>
      </w:r>
      <w:r>
        <w:instrText xml:space="preserve"> </w:instrText>
      </w:r>
      <w:r>
        <w:fldChar w:fldCharType="separate"/>
      </w:r>
      <w:r>
        <w:t>V</w:t>
      </w:r>
      <w:r>
        <w:fldChar w:fldCharType="end"/>
      </w:r>
      <w:r>
        <w:t>—选定的超设计基准事</w:t>
      </w:r>
      <w:r>
        <w:rPr>
          <w:rFonts w:hint="eastAsia"/>
        </w:rPr>
        <w:t>故(设计扩展工况)</w:t>
      </w:r>
      <w:r>
        <w:t>。</w:t>
      </w:r>
      <w:r>
        <w:rPr>
          <w:rFonts w:hint="eastAsia"/>
        </w:rPr>
        <w:t>对于机械设备的设计，还需考虑设计工况和试验工况。以下是对这些工况一般性的描述：</w:t>
      </w:r>
    </w:p>
    <w:p w14:paraId="14FE3FD3">
      <w:pPr>
        <w:pStyle w:val="168"/>
        <w:numPr>
          <w:ilvl w:val="0"/>
          <w:numId w:val="16"/>
        </w:numPr>
        <w:ind w:left="420" w:leftChars="200" w:firstLineChars="0"/>
      </w:pPr>
      <w:r>
        <w:rPr>
          <w:rFonts w:hint="eastAsia"/>
        </w:rPr>
        <w:t xml:space="preserve">设计工况 — </w:t>
      </w:r>
      <w:r>
        <w:t>设计工况</w:t>
      </w:r>
      <w:r>
        <w:rPr>
          <w:rFonts w:hint="eastAsia"/>
        </w:rPr>
        <w:t>载荷</w:t>
      </w:r>
    </w:p>
    <w:p w14:paraId="78E33653">
      <w:pPr>
        <w:pStyle w:val="168"/>
        <w:numPr>
          <w:ilvl w:val="0"/>
          <w:numId w:val="16"/>
        </w:numPr>
        <w:tabs>
          <w:tab w:val="left" w:pos="2383"/>
        </w:tabs>
        <w:ind w:left="851" w:firstLineChars="0"/>
      </w:pPr>
      <w:r>
        <w:t>工况</w:t>
      </w:r>
      <w:r>
        <w:fldChar w:fldCharType="begin"/>
      </w:r>
      <w:r>
        <w:instrText xml:space="preserve"> </w:instrText>
      </w:r>
      <w:r>
        <w:rPr>
          <w:rFonts w:hint="eastAsia"/>
        </w:rPr>
        <w:instrText xml:space="preserve">= 1 \* ROMAN</w:instrText>
      </w:r>
      <w:r>
        <w:instrText xml:space="preserve"> </w:instrText>
      </w:r>
      <w:r>
        <w:fldChar w:fldCharType="separate"/>
      </w:r>
      <w:r>
        <w:t>I</w:t>
      </w:r>
      <w:r>
        <w:fldChar w:fldCharType="end"/>
      </w:r>
      <w:r>
        <w:rPr>
          <w:rFonts w:hint="eastAsia"/>
        </w:rPr>
        <w:t xml:space="preserve"> — </w:t>
      </w:r>
      <w:r>
        <w:t>正常运行工况：设计工况、额定运行工况、正常运行瞬态；</w:t>
      </w:r>
    </w:p>
    <w:p w14:paraId="3FA80297">
      <w:pPr>
        <w:pStyle w:val="168"/>
        <w:numPr>
          <w:ilvl w:val="0"/>
          <w:numId w:val="16"/>
        </w:numPr>
        <w:tabs>
          <w:tab w:val="left" w:pos="2383"/>
        </w:tabs>
        <w:ind w:left="851" w:firstLineChars="0"/>
      </w:pPr>
      <w:r>
        <w:t>工况</w:t>
      </w:r>
      <w:r>
        <w:fldChar w:fldCharType="begin"/>
      </w:r>
      <w:r>
        <w:instrText xml:space="preserve"> </w:instrText>
      </w:r>
      <w:r>
        <w:rPr>
          <w:rFonts w:hint="eastAsia"/>
        </w:rPr>
        <w:instrText xml:space="preserve">= 2 \* ROMAN</w:instrText>
      </w:r>
      <w:r>
        <w:instrText xml:space="preserve"> </w:instrText>
      </w:r>
      <w:r>
        <w:fldChar w:fldCharType="separate"/>
      </w:r>
      <w:r>
        <w:t>II</w:t>
      </w:r>
      <w:r>
        <w:fldChar w:fldCharType="end"/>
      </w:r>
      <w:r>
        <w:t xml:space="preserve"> </w:t>
      </w:r>
      <w:r>
        <w:rPr>
          <w:rFonts w:hint="eastAsia"/>
        </w:rPr>
        <w:t xml:space="preserve">— </w:t>
      </w:r>
      <w:r>
        <w:t>预期</w:t>
      </w:r>
      <w:r>
        <w:rPr>
          <w:rFonts w:hint="eastAsia"/>
        </w:rPr>
        <w:t>运行</w:t>
      </w:r>
      <w:r>
        <w:t>瞬态：在</w:t>
      </w:r>
      <w:r>
        <w:rPr>
          <w:szCs w:val="28"/>
        </w:rPr>
        <w:t>反应堆的寿期中有可能出现一次或多次偏离正常运行的各种运行过程，发生概率＞10</w:t>
      </w:r>
      <w:r>
        <w:rPr>
          <w:szCs w:val="28"/>
          <w:vertAlign w:val="superscript"/>
        </w:rPr>
        <w:t>-2</w:t>
      </w:r>
      <w:r>
        <w:rPr>
          <w:szCs w:val="28"/>
        </w:rPr>
        <w:t>/堆</w:t>
      </w:r>
      <w:r>
        <w:rPr>
          <w:rFonts w:hint="eastAsia"/>
          <w:szCs w:val="28"/>
        </w:rPr>
        <w:t>·</w:t>
      </w:r>
      <w:r>
        <w:rPr>
          <w:szCs w:val="28"/>
        </w:rPr>
        <w:t>年</w:t>
      </w:r>
      <w:r>
        <w:t>；</w:t>
      </w:r>
    </w:p>
    <w:p w14:paraId="2B783F30">
      <w:pPr>
        <w:pStyle w:val="168"/>
        <w:numPr>
          <w:ilvl w:val="0"/>
          <w:numId w:val="16"/>
        </w:numPr>
        <w:tabs>
          <w:tab w:val="left" w:pos="2383"/>
        </w:tabs>
        <w:ind w:left="851" w:firstLineChars="0"/>
      </w:pPr>
      <w:r>
        <w:t>工况</w:t>
      </w:r>
      <w:r>
        <w:fldChar w:fldCharType="begin"/>
      </w:r>
      <w:r>
        <w:instrText xml:space="preserve"> </w:instrText>
      </w:r>
      <w:r>
        <w:rPr>
          <w:rFonts w:hint="eastAsia"/>
        </w:rPr>
        <w:instrText xml:space="preserve">= 3 \* ROMAN</w:instrText>
      </w:r>
      <w:r>
        <w:instrText xml:space="preserve"> </w:instrText>
      </w:r>
      <w:r>
        <w:fldChar w:fldCharType="separate"/>
      </w:r>
      <w:r>
        <w:t>III</w:t>
      </w:r>
      <w:r>
        <w:fldChar w:fldCharType="end"/>
      </w:r>
      <w:r>
        <w:t xml:space="preserve"> </w:t>
      </w:r>
      <w:r>
        <w:rPr>
          <w:rFonts w:hint="eastAsia"/>
        </w:rPr>
        <w:t xml:space="preserve">— </w:t>
      </w:r>
      <w:r>
        <w:t>设计基准事</w:t>
      </w:r>
      <w:r>
        <w:rPr>
          <w:rFonts w:hint="eastAsia"/>
        </w:rPr>
        <w:t>故中的稀有事故</w:t>
      </w:r>
      <w:r>
        <w:t>：预计</w:t>
      </w:r>
      <w:r>
        <w:rPr>
          <w:szCs w:val="28"/>
        </w:rPr>
        <w:t>在一个</w:t>
      </w:r>
      <w:r>
        <w:rPr>
          <w:rFonts w:hint="eastAsia"/>
        </w:rPr>
        <w:t>核蒸汽供应系统</w:t>
      </w:r>
      <w:r>
        <w:rPr>
          <w:szCs w:val="28"/>
        </w:rPr>
        <w:t>模块的整个寿期中不会发生，但在建造的总体模块中(假设数百个模块)有可能会发生的事故，其概率为10</w:t>
      </w:r>
      <w:r>
        <w:rPr>
          <w:szCs w:val="28"/>
          <w:vertAlign w:val="superscript"/>
        </w:rPr>
        <w:t>-2</w:t>
      </w:r>
      <w:r>
        <w:rPr>
          <w:szCs w:val="28"/>
        </w:rPr>
        <w:t>～10</w:t>
      </w:r>
      <w:r>
        <w:rPr>
          <w:szCs w:val="28"/>
          <w:vertAlign w:val="superscript"/>
        </w:rPr>
        <w:t>-4</w:t>
      </w:r>
      <w:r>
        <w:rPr>
          <w:szCs w:val="28"/>
        </w:rPr>
        <w:t>/堆</w:t>
      </w:r>
      <w:r>
        <w:rPr>
          <w:rFonts w:hint="eastAsia"/>
          <w:szCs w:val="28"/>
        </w:rPr>
        <w:t>·</w:t>
      </w:r>
      <w:r>
        <w:rPr>
          <w:szCs w:val="28"/>
        </w:rPr>
        <w:t>年</w:t>
      </w:r>
      <w:r>
        <w:rPr>
          <w:rFonts w:hint="eastAsia"/>
        </w:rPr>
        <w:t>；</w:t>
      </w:r>
    </w:p>
    <w:p w14:paraId="3F1CD03B">
      <w:pPr>
        <w:pStyle w:val="168"/>
        <w:numPr>
          <w:ilvl w:val="0"/>
          <w:numId w:val="16"/>
        </w:numPr>
        <w:tabs>
          <w:tab w:val="left" w:pos="2383"/>
        </w:tabs>
        <w:ind w:left="851" w:firstLineChars="0"/>
      </w:pPr>
      <w:r>
        <w:t>工况</w:t>
      </w:r>
      <w:r>
        <w:fldChar w:fldCharType="begin"/>
      </w:r>
      <w:r>
        <w:instrText xml:space="preserve"> </w:instrText>
      </w:r>
      <w:r>
        <w:rPr>
          <w:rFonts w:hint="eastAsia"/>
        </w:rPr>
        <w:instrText xml:space="preserve">= 4 \* ROMAN</w:instrText>
      </w:r>
      <w:r>
        <w:instrText xml:space="preserve"> </w:instrText>
      </w:r>
      <w:r>
        <w:fldChar w:fldCharType="separate"/>
      </w:r>
      <w:r>
        <w:t>IV</w:t>
      </w:r>
      <w:r>
        <w:fldChar w:fldCharType="end"/>
      </w:r>
      <w:r>
        <w:t xml:space="preserve"> </w:t>
      </w:r>
      <w:r>
        <w:rPr>
          <w:rFonts w:hint="eastAsia"/>
        </w:rPr>
        <w:t xml:space="preserve">— </w:t>
      </w:r>
      <w:r>
        <w:t>设计基准事</w:t>
      </w:r>
      <w:r>
        <w:rPr>
          <w:rFonts w:hint="eastAsia"/>
        </w:rPr>
        <w:t>故中的极限事故</w:t>
      </w:r>
      <w:r>
        <w:t>：</w:t>
      </w:r>
      <w:r>
        <w:rPr>
          <w:szCs w:val="28"/>
        </w:rPr>
        <w:t>预计在这类堆型总体的寿期中不会发生，但出于安全的考虑，仍将它们归于设计基准事故之中，其概率为10</w:t>
      </w:r>
      <w:r>
        <w:rPr>
          <w:szCs w:val="28"/>
          <w:vertAlign w:val="superscript"/>
        </w:rPr>
        <w:t>-4</w:t>
      </w:r>
      <w:r>
        <w:rPr>
          <w:szCs w:val="28"/>
        </w:rPr>
        <w:t>～10</w:t>
      </w:r>
      <w:r>
        <w:rPr>
          <w:szCs w:val="28"/>
          <w:vertAlign w:val="superscript"/>
        </w:rPr>
        <w:t>-6</w:t>
      </w:r>
      <w:r>
        <w:rPr>
          <w:szCs w:val="28"/>
        </w:rPr>
        <w:t>/堆</w:t>
      </w:r>
      <w:r>
        <w:rPr>
          <w:rFonts w:hint="eastAsia"/>
          <w:szCs w:val="28"/>
        </w:rPr>
        <w:t>·</w:t>
      </w:r>
      <w:r>
        <w:rPr>
          <w:szCs w:val="28"/>
        </w:rPr>
        <w:t>年</w:t>
      </w:r>
      <w:r>
        <w:rPr>
          <w:rFonts w:hint="eastAsia"/>
          <w:szCs w:val="28"/>
        </w:rPr>
        <w:t>；</w:t>
      </w:r>
    </w:p>
    <w:p w14:paraId="4F6D3F53">
      <w:pPr>
        <w:pStyle w:val="168"/>
        <w:numPr>
          <w:ilvl w:val="0"/>
          <w:numId w:val="16"/>
        </w:numPr>
        <w:tabs>
          <w:tab w:val="left" w:pos="2383"/>
        </w:tabs>
        <w:ind w:left="851" w:firstLineChars="0"/>
        <w:rPr>
          <w:kern w:val="0"/>
          <w:szCs w:val="28"/>
        </w:rPr>
      </w:pPr>
      <w:r>
        <w:t>工况</w:t>
      </w:r>
      <w:r>
        <w:fldChar w:fldCharType="begin"/>
      </w:r>
      <w:r>
        <w:instrText xml:space="preserve"> </w:instrText>
      </w:r>
      <w:r>
        <w:rPr>
          <w:rFonts w:hint="eastAsia"/>
        </w:rPr>
        <w:instrText xml:space="preserve">= 5 \* ROMAN</w:instrText>
      </w:r>
      <w:r>
        <w:instrText xml:space="preserve"> </w:instrText>
      </w:r>
      <w:r>
        <w:fldChar w:fldCharType="separate"/>
      </w:r>
      <w:r>
        <w:t>V</w:t>
      </w:r>
      <w:r>
        <w:fldChar w:fldCharType="end"/>
      </w:r>
      <w:r>
        <w:t xml:space="preserve"> </w:t>
      </w:r>
      <w:r>
        <w:rPr>
          <w:rFonts w:hint="eastAsia"/>
        </w:rPr>
        <w:t xml:space="preserve">— </w:t>
      </w:r>
      <w:r>
        <w:t>选定的超设计基准事</w:t>
      </w:r>
      <w:r>
        <w:rPr>
          <w:rFonts w:hint="eastAsia"/>
        </w:rPr>
        <w:t>故(设计扩展工况)</w:t>
      </w:r>
      <w:r>
        <w:t>：</w:t>
      </w:r>
      <w:r>
        <w:rPr>
          <w:kern w:val="0"/>
          <w:szCs w:val="28"/>
        </w:rPr>
        <w:t>发生概率极低的事故工况，</w:t>
      </w:r>
      <w:r>
        <w:rPr>
          <w:szCs w:val="28"/>
        </w:rPr>
        <w:t>概率&lt;10</w:t>
      </w:r>
      <w:r>
        <w:rPr>
          <w:szCs w:val="28"/>
          <w:vertAlign w:val="superscript"/>
        </w:rPr>
        <w:t>-6</w:t>
      </w:r>
      <w:r>
        <w:rPr>
          <w:szCs w:val="28"/>
        </w:rPr>
        <w:t>/堆</w:t>
      </w:r>
      <w:r>
        <w:rPr>
          <w:rFonts w:hint="eastAsia"/>
          <w:szCs w:val="28"/>
        </w:rPr>
        <w:t>·</w:t>
      </w:r>
      <w:r>
        <w:rPr>
          <w:szCs w:val="28"/>
        </w:rPr>
        <w:t>年</w:t>
      </w:r>
      <w:r>
        <w:rPr>
          <w:rFonts w:hint="eastAsia"/>
          <w:szCs w:val="28"/>
        </w:rPr>
        <w:t>。</w:t>
      </w:r>
      <w:r>
        <w:rPr>
          <w:kern w:val="0"/>
          <w:szCs w:val="28"/>
        </w:rPr>
        <w:t>但为了确保反应堆的安全性和公众的健康，挑选某些事故进行分析，以确定设计源项，评价需要的应急措施</w:t>
      </w:r>
      <w:r>
        <w:rPr>
          <w:rFonts w:hint="eastAsia"/>
          <w:kern w:val="0"/>
          <w:szCs w:val="28"/>
        </w:rPr>
        <w:t>；</w:t>
      </w:r>
    </w:p>
    <w:p w14:paraId="2D232F77">
      <w:pPr>
        <w:pStyle w:val="168"/>
        <w:numPr>
          <w:ilvl w:val="0"/>
          <w:numId w:val="16"/>
        </w:numPr>
        <w:tabs>
          <w:tab w:val="left" w:pos="2383"/>
        </w:tabs>
        <w:ind w:left="851" w:firstLineChars="0"/>
      </w:pPr>
      <w:r>
        <w:rPr>
          <w:rFonts w:hint="eastAsia"/>
        </w:rPr>
        <w:t xml:space="preserve">试验工况 — </w:t>
      </w:r>
      <w:bookmarkStart w:id="59" w:name="OLE_LINK6"/>
      <w:r>
        <w:rPr>
          <w:rFonts w:hint="eastAsia"/>
        </w:rPr>
        <w:t>试验</w:t>
      </w:r>
      <w:r>
        <w:t>工况</w:t>
      </w:r>
      <w:r>
        <w:rPr>
          <w:rFonts w:hint="eastAsia"/>
        </w:rPr>
        <w:t>载荷</w:t>
      </w:r>
      <w:bookmarkEnd w:id="59"/>
      <w:r>
        <w:rPr>
          <w:rFonts w:hint="eastAsia"/>
        </w:rPr>
        <w:t>：试验工况载荷根据设计需求确定。</w:t>
      </w:r>
    </w:p>
    <w:p w14:paraId="39E0B9AE">
      <w:pPr>
        <w:pStyle w:val="49"/>
        <w:spacing w:before="156" w:after="156"/>
      </w:pPr>
      <w:bookmarkStart w:id="60" w:name="_Toc53066475"/>
      <w:r>
        <w:rPr>
          <w:rFonts w:hint="eastAsia"/>
        </w:rPr>
        <w:t>载荷分级</w:t>
      </w:r>
      <w:bookmarkEnd w:id="60"/>
    </w:p>
    <w:p w14:paraId="7D400CB1">
      <w:pPr>
        <w:ind w:firstLine="420"/>
      </w:pPr>
      <w:r>
        <w:t>本节规定了采用概率法进行分析和评价时对载荷分级的一般要求，对反应堆不同工况下的各类载荷进行分级</w:t>
      </w:r>
      <w:r>
        <w:rPr>
          <w:rFonts w:hint="eastAsia"/>
        </w:rPr>
        <w:t>可参考</w:t>
      </w:r>
      <w:r>
        <w:t>本节中的规定。</w:t>
      </w:r>
    </w:p>
    <w:p w14:paraId="1D33E341">
      <w:r>
        <w:t>7.3.</w:t>
      </w:r>
      <w:r>
        <w:rPr>
          <w:rFonts w:hint="eastAsia"/>
        </w:rPr>
        <w:t>1 石墨</w:t>
      </w:r>
      <w:r>
        <w:t>堆芯支承结构</w:t>
      </w:r>
      <w:r>
        <w:rPr>
          <w:rFonts w:hint="eastAsia"/>
        </w:rPr>
        <w:t>在下列载荷状态下</w:t>
      </w:r>
      <w:r>
        <w:t>所承受的名义载荷称为A级载荷：</w:t>
      </w:r>
    </w:p>
    <w:p w14:paraId="6AA1FF51">
      <w:pPr>
        <w:pStyle w:val="168"/>
        <w:numPr>
          <w:ilvl w:val="0"/>
          <w:numId w:val="17"/>
        </w:numPr>
        <w:tabs>
          <w:tab w:val="left" w:pos="2383"/>
        </w:tabs>
        <w:ind w:left="851" w:firstLineChars="0"/>
      </w:pPr>
      <w:r>
        <w:t>正常运行；</w:t>
      </w:r>
    </w:p>
    <w:p w14:paraId="63CCA3EF">
      <w:pPr>
        <w:pStyle w:val="168"/>
        <w:numPr>
          <w:ilvl w:val="0"/>
          <w:numId w:val="17"/>
        </w:numPr>
        <w:tabs>
          <w:tab w:val="left" w:pos="2383"/>
        </w:tabs>
        <w:ind w:left="851" w:firstLineChars="0"/>
      </w:pPr>
      <w:r>
        <w:t>异常运行；</w:t>
      </w:r>
    </w:p>
    <w:p w14:paraId="3CB9FC0A">
      <w:pPr>
        <w:pStyle w:val="168"/>
        <w:numPr>
          <w:ilvl w:val="0"/>
          <w:numId w:val="17"/>
        </w:numPr>
        <w:tabs>
          <w:tab w:val="left" w:pos="2383"/>
        </w:tabs>
        <w:ind w:left="851" w:firstLineChars="0"/>
      </w:pPr>
      <w:r>
        <w:t>试验状态；</w:t>
      </w:r>
    </w:p>
    <w:p w14:paraId="4606DAE8">
      <w:pPr>
        <w:pStyle w:val="168"/>
        <w:numPr>
          <w:ilvl w:val="0"/>
          <w:numId w:val="17"/>
        </w:numPr>
        <w:tabs>
          <w:tab w:val="left" w:pos="2383"/>
        </w:tabs>
        <w:ind w:left="851" w:firstLineChars="0"/>
      </w:pPr>
      <w:r>
        <w:t>在整个反应堆寿期内预计发生次数N＞1的事故状态。</w:t>
      </w:r>
    </w:p>
    <w:p w14:paraId="1008D6DE">
      <w:pPr>
        <w:ind w:firstLine="420" w:firstLineChars="200"/>
      </w:pPr>
      <w:r>
        <w:t>在A级载荷条件下，</w:t>
      </w:r>
      <w:r>
        <w:rPr>
          <w:rFonts w:hint="eastAsia"/>
        </w:rPr>
        <w:t>应</w:t>
      </w:r>
      <w:r>
        <w:t>保证反应堆</w:t>
      </w:r>
      <w:r>
        <w:rPr>
          <w:rFonts w:hint="eastAsia"/>
        </w:rPr>
        <w:t>石墨</w:t>
      </w:r>
      <w:r>
        <w:t>部件的功能在整个反应堆寿期内运行的安全性。</w:t>
      </w:r>
    </w:p>
    <w:p w14:paraId="3E27BB4B">
      <w:r>
        <w:t>7.3.</w:t>
      </w:r>
      <w:r>
        <w:rPr>
          <w:rFonts w:hint="eastAsia"/>
        </w:rPr>
        <w:t>2 石墨</w:t>
      </w:r>
      <w:r>
        <w:t>堆芯支承结构</w:t>
      </w:r>
      <w:r>
        <w:rPr>
          <w:rFonts w:hint="eastAsia"/>
        </w:rPr>
        <w:t>在下列载荷状态下</w:t>
      </w:r>
      <w:r>
        <w:t>所承受的名义载荷</w:t>
      </w:r>
      <w:r>
        <w:rPr>
          <w:rFonts w:hint="eastAsia"/>
        </w:rPr>
        <w:t>称为</w:t>
      </w:r>
      <w:r>
        <w:t>B级载荷：</w:t>
      </w:r>
    </w:p>
    <w:p w14:paraId="15491260">
      <w:pPr>
        <w:pStyle w:val="168"/>
        <w:numPr>
          <w:ilvl w:val="0"/>
          <w:numId w:val="18"/>
        </w:numPr>
        <w:tabs>
          <w:tab w:val="left" w:pos="2383"/>
        </w:tabs>
        <w:ind w:left="851" w:firstLineChars="0"/>
      </w:pPr>
      <w:r>
        <w:t>在整个反应堆寿期内预计发生次数N&lt;1的事故状态；</w:t>
      </w:r>
    </w:p>
    <w:p w14:paraId="2F52B675">
      <w:pPr>
        <w:pStyle w:val="168"/>
        <w:numPr>
          <w:ilvl w:val="0"/>
          <w:numId w:val="18"/>
        </w:numPr>
        <w:tabs>
          <w:tab w:val="left" w:pos="2383"/>
        </w:tabs>
        <w:ind w:left="851" w:firstLineChars="0"/>
      </w:pPr>
      <w:r>
        <w:t>假想事故状态或过程。</w:t>
      </w:r>
    </w:p>
    <w:p w14:paraId="132E6838">
      <w:pPr>
        <w:ind w:firstLine="420"/>
      </w:pPr>
      <w:r>
        <w:t>在B级载荷条件下，</w:t>
      </w:r>
      <w:r>
        <w:rPr>
          <w:rFonts w:hint="eastAsia"/>
        </w:rPr>
        <w:t>应</w:t>
      </w:r>
      <w:r>
        <w:t>保证结构的完整性，</w:t>
      </w:r>
      <w:r>
        <w:rPr>
          <w:rFonts w:hint="eastAsia"/>
        </w:rPr>
        <w:t>以</w:t>
      </w:r>
      <w:r>
        <w:t>使反应堆安全停堆和安全排出余热。在出现一个B级载荷之后，反应堆</w:t>
      </w:r>
      <w:r>
        <w:rPr>
          <w:rFonts w:hint="eastAsia"/>
        </w:rPr>
        <w:t>应</w:t>
      </w:r>
      <w:r>
        <w:t>不再继续运行。</w:t>
      </w:r>
      <w:r>
        <w:rPr>
          <w:rFonts w:hint="eastAsia"/>
        </w:rPr>
        <w:t>若要继续运行，应通过计算或适当的检查，必要时更换某些有关部件，以保证在事故之后反应堆仍保持安全性。</w:t>
      </w:r>
    </w:p>
    <w:p w14:paraId="7660EB48">
      <w:pPr>
        <w:rPr>
          <w:rFonts w:hint="eastAsia" w:ascii="宋体" w:hAnsi="宋体" w:eastAsia="宋体" w:cs="宋体"/>
        </w:rPr>
      </w:pPr>
      <w:r>
        <w:rPr>
          <w:rFonts w:hint="eastAsia" w:ascii="宋体" w:hAnsi="宋体" w:eastAsia="宋体" w:cs="宋体"/>
        </w:rPr>
        <w:t>7.3.3 超设计基准载荷</w:t>
      </w:r>
    </w:p>
    <w:p w14:paraId="7F2F192C">
      <w:pPr>
        <w:ind w:firstLine="420"/>
      </w:pPr>
      <w:r>
        <w:rPr>
          <w:rFonts w:hint="eastAsia"/>
        </w:rPr>
        <w:t>发生概率极低、后果极为严重的假想事故一般不在设计中考虑，对反应堆设备的影响可能不同，难以采用确定的准则进行评价，推荐针对各个事故进行专项分析，论证石墨堆芯支承结构完整性或者出现损伤后对反应堆安全和事故后果的影响。</w:t>
      </w:r>
    </w:p>
    <w:p w14:paraId="4CE59C1A">
      <w:pPr>
        <w:pStyle w:val="49"/>
        <w:spacing w:before="156" w:after="156"/>
      </w:pPr>
      <w:bookmarkStart w:id="61" w:name="_Toc53066476"/>
      <w:r>
        <w:rPr>
          <w:rFonts w:hint="eastAsia"/>
        </w:rPr>
        <w:t>分析和评价方法</w:t>
      </w:r>
      <w:bookmarkEnd w:id="61"/>
    </w:p>
    <w:p w14:paraId="1FA279AC">
      <w:pPr>
        <w:pStyle w:val="53"/>
        <w:spacing w:before="156" w:after="156"/>
        <w:ind w:left="848" w:hanging="848"/>
      </w:pPr>
      <w:bookmarkStart w:id="62" w:name="_Toc53066477"/>
      <w:r>
        <w:rPr>
          <w:rFonts w:hint="eastAsia"/>
        </w:rPr>
        <w:t>石墨构件分析的力学模型</w:t>
      </w:r>
      <w:bookmarkEnd w:id="62"/>
    </w:p>
    <w:p w14:paraId="3722885D">
      <w:pPr>
        <w:pStyle w:val="121"/>
        <w:numPr>
          <w:ilvl w:val="3"/>
          <w:numId w:val="0"/>
        </w:numPr>
        <w:ind w:firstLine="420"/>
      </w:pPr>
      <w:r>
        <w:rPr>
          <w:rFonts w:hint="eastAsia"/>
        </w:rPr>
        <w:t>应对于石墨部件在反应堆启动、停堆、稳定和过渡工况下进行分析，获得部件上的应力与变形。当累计中子注量低于最小中子注量时，可采用线弹性分析模型。当累计中子注量大于最小中子注量时，应采用粘弹性材料本构模型，考虑弹性模量、热膨胀系数、热传导系数和蠕变系数随着温度和中子注量的非线性变化，可采用有限元等数值分析方法获得。最小中子注量应在技术规格书中规定，一般对于结构连续区域为4x10</w:t>
      </w:r>
      <w:r>
        <w:rPr>
          <w:rFonts w:hint="eastAsia"/>
          <w:vertAlign w:val="superscript"/>
        </w:rPr>
        <w:t>20</w:t>
      </w:r>
      <w:r>
        <w:rPr>
          <w:rFonts w:hint="eastAsia"/>
        </w:rPr>
        <w:t>/</w:t>
      </w:r>
      <w:r>
        <w:t>cm</w:t>
      </w:r>
      <w:r>
        <w:rPr>
          <w:vertAlign w:val="superscript"/>
        </w:rPr>
        <w:t>2</w:t>
      </w:r>
      <w:r>
        <w:rPr>
          <w:rFonts w:hint="eastAsia"/>
        </w:rPr>
        <w:t>（EDN，约0.5 dpa），在结构不连续区域（开孔结构）为2x10</w:t>
      </w:r>
      <w:r>
        <w:rPr>
          <w:rFonts w:hint="eastAsia"/>
          <w:vertAlign w:val="superscript"/>
        </w:rPr>
        <w:t>20</w:t>
      </w:r>
      <w:r>
        <w:rPr>
          <w:rFonts w:hint="eastAsia"/>
        </w:rPr>
        <w:t>/</w:t>
      </w:r>
      <w:r>
        <w:t>cm</w:t>
      </w:r>
      <w:r>
        <w:rPr>
          <w:vertAlign w:val="superscript"/>
        </w:rPr>
        <w:t>2</w:t>
      </w:r>
      <w:r>
        <w:rPr>
          <w:rFonts w:hint="eastAsia"/>
        </w:rPr>
        <w:t>（EDN，约0.25 dpa）。</w:t>
      </w:r>
    </w:p>
    <w:p w14:paraId="42D61933">
      <w:pPr>
        <w:pStyle w:val="53"/>
        <w:spacing w:before="156" w:after="156"/>
        <w:ind w:left="848" w:hanging="848"/>
      </w:pPr>
      <w:bookmarkStart w:id="63" w:name="_Toc53066478"/>
      <w:r>
        <w:rPr>
          <w:rFonts w:hint="eastAsia"/>
        </w:rPr>
        <w:t>评价方法</w:t>
      </w:r>
      <w:bookmarkEnd w:id="63"/>
    </w:p>
    <w:p w14:paraId="2A9182F5">
      <w:pPr>
        <w:pStyle w:val="121"/>
        <w:numPr>
          <w:ilvl w:val="3"/>
          <w:numId w:val="0"/>
        </w:numPr>
        <w:ind w:firstLine="420"/>
      </w:pPr>
      <w:r>
        <w:rPr>
          <w:rFonts w:hint="eastAsia" w:ascii="仿宋_GB2312"/>
          <w:szCs w:val="28"/>
        </w:rPr>
        <w:t>石墨部件的结构完整性</w:t>
      </w:r>
      <w:r>
        <w:rPr>
          <w:rFonts w:ascii="仿宋_GB2312"/>
          <w:szCs w:val="28"/>
        </w:rPr>
        <w:t>可采用确定法或者失效概率方法进行分析评价，也可采用二者相结合的评价方法。由于</w:t>
      </w:r>
      <w:r>
        <w:rPr>
          <w:rFonts w:hint="eastAsia" w:ascii="仿宋_GB2312"/>
          <w:szCs w:val="28"/>
        </w:rPr>
        <w:t>石墨</w:t>
      </w:r>
      <w:r>
        <w:rPr>
          <w:rFonts w:ascii="仿宋_GB2312"/>
          <w:szCs w:val="28"/>
        </w:rPr>
        <w:t>材料</w:t>
      </w:r>
      <w:r>
        <w:rPr>
          <w:rFonts w:hint="eastAsia" w:ascii="仿宋_GB2312"/>
          <w:szCs w:val="28"/>
        </w:rPr>
        <w:t>属脆性材料，</w:t>
      </w:r>
      <w:r>
        <w:rPr>
          <w:rFonts w:ascii="仿宋_GB2312"/>
          <w:szCs w:val="28"/>
        </w:rPr>
        <w:t>强度分散性大，确定法较为保守。针对载荷和应力分布复杂的构件，采用概率法进行评估更为合理</w:t>
      </w:r>
      <w:r>
        <w:rPr>
          <w:rFonts w:hint="eastAsia" w:ascii="仿宋_GB2312"/>
          <w:szCs w:val="28"/>
        </w:rPr>
        <w:t>。</w:t>
      </w:r>
      <w:r>
        <w:rPr>
          <w:rFonts w:ascii="仿宋_GB2312"/>
          <w:szCs w:val="28"/>
        </w:rPr>
        <w:t>设计方应规定具体的分析方法，并在技术规格书中详细规定，可以参考目前已经较为成熟的核电规范，也可采用经过验证和评审的失效概率分析方法</w:t>
      </w:r>
      <w:r>
        <w:rPr>
          <w:rFonts w:hint="eastAsia"/>
        </w:rPr>
        <w:t>。</w:t>
      </w:r>
    </w:p>
    <w:p w14:paraId="2B59CB25">
      <w:pPr>
        <w:pStyle w:val="121"/>
        <w:numPr>
          <w:ilvl w:val="3"/>
          <w:numId w:val="0"/>
        </w:numPr>
        <w:ind w:firstLine="420"/>
      </w:pPr>
      <w:r>
        <w:rPr>
          <w:rFonts w:hint="eastAsia"/>
        </w:rPr>
        <w:t>为了进行石墨材料的疲劳分析，应提供该石墨材料的循环疲劳Goodman图，并据此进行抗疲劳安全评价。当应力循环次数不超过10</w:t>
      </w:r>
      <w:r>
        <w:rPr>
          <w:rFonts w:hint="eastAsia"/>
          <w:vertAlign w:val="superscript"/>
        </w:rPr>
        <w:t>5</w:t>
      </w:r>
      <w:r>
        <w:rPr>
          <w:rFonts w:hint="eastAsia"/>
        </w:rPr>
        <w:t>，并且计算出的拉伸应力不超过石墨拉伸强度平均值的1/4，压缩应力不超过石墨压缩强度平均值的1/4时，可以不进行疲劳分析。</w:t>
      </w:r>
    </w:p>
    <w:p w14:paraId="2ED311A0">
      <w:pPr>
        <w:pStyle w:val="49"/>
        <w:spacing w:before="156" w:after="156"/>
      </w:pPr>
      <w:bookmarkStart w:id="64" w:name="_Toc53066481"/>
      <w:r>
        <w:rPr>
          <w:rFonts w:hint="eastAsia"/>
        </w:rPr>
        <w:t>限值</w:t>
      </w:r>
      <w:bookmarkEnd w:id="64"/>
      <w:r>
        <w:rPr>
          <w:rFonts w:hint="eastAsia"/>
        </w:rPr>
        <w:t>规定</w:t>
      </w:r>
    </w:p>
    <w:p w14:paraId="7257F007">
      <w:pPr>
        <w:pStyle w:val="70"/>
        <w:ind w:left="848" w:hanging="848"/>
        <w:rPr>
          <w:rFonts w:hint="eastAsia" w:ascii="黑体" w:hAnsi="黑体" w:eastAsia="黑体" w:cs="黑体"/>
        </w:rPr>
      </w:pPr>
      <w:r>
        <w:rPr>
          <w:rFonts w:hint="eastAsia" w:ascii="黑体" w:hAnsi="黑体" w:eastAsia="黑体" w:cs="黑体"/>
        </w:rPr>
        <w:t>确定论方法</w:t>
      </w:r>
    </w:p>
    <w:p w14:paraId="32A032A2">
      <w:pPr>
        <w:pStyle w:val="121"/>
        <w:numPr>
          <w:ilvl w:val="3"/>
          <w:numId w:val="0"/>
        </w:numPr>
        <w:ind w:firstLine="420"/>
      </w:pPr>
      <w:r>
        <w:t>根据确定论的分析方法</w:t>
      </w:r>
      <w:r>
        <w:rPr>
          <w:rFonts w:ascii="仿宋_GB2312"/>
          <w:szCs w:val="28"/>
        </w:rPr>
        <w:t>给出</w:t>
      </w:r>
      <w:r>
        <w:rPr>
          <w:rFonts w:hint="eastAsia"/>
        </w:rPr>
        <w:t>石墨</w:t>
      </w:r>
      <w:r>
        <w:t>堆芯支承结构上在不同工况下的应力分布，并分别计算其薄膜等效应力与峰值等效应力，应满足技术规格书中规定的限值。</w:t>
      </w:r>
    </w:p>
    <w:p w14:paraId="46C32E84">
      <w:pPr>
        <w:pStyle w:val="70"/>
        <w:ind w:left="848" w:hanging="848"/>
        <w:rPr>
          <w:rFonts w:hint="eastAsia" w:ascii="黑体" w:hAnsi="黑体" w:eastAsia="黑体" w:cs="黑体"/>
        </w:rPr>
      </w:pPr>
      <w:r>
        <w:rPr>
          <w:rFonts w:hint="eastAsia" w:ascii="黑体" w:hAnsi="黑体" w:eastAsia="黑体" w:cs="黑体"/>
        </w:rPr>
        <w:t>概率论方法</w:t>
      </w:r>
    </w:p>
    <w:p w14:paraId="48DC6A99">
      <w:pPr>
        <w:pStyle w:val="121"/>
        <w:numPr>
          <w:ilvl w:val="3"/>
          <w:numId w:val="0"/>
        </w:numPr>
        <w:ind w:firstLine="420"/>
      </w:pPr>
      <w:r>
        <w:t>根据概率论的分析方法给出</w:t>
      </w:r>
      <w:r>
        <w:rPr>
          <w:rFonts w:hint="eastAsia"/>
        </w:rPr>
        <w:t>石墨</w:t>
      </w:r>
      <w:r>
        <w:t>堆芯支承结构质量安全等级和限制载荷级别为A和B条件下的失效概率，表1中给出了目前通用的限值规定</w:t>
      </w:r>
      <w:r>
        <w:rPr>
          <w:rFonts w:hint="eastAsia"/>
        </w:rPr>
        <w:t>，当部件的失效概率超过限值时，应分析可能的失效模式，评估对反应堆安全的影响，确定可接受的验收准则。</w:t>
      </w:r>
    </w:p>
    <w:p w14:paraId="4AF257F5">
      <w:pPr>
        <w:pStyle w:val="136"/>
        <w:spacing w:before="156" w:after="156"/>
      </w:pPr>
      <w:r>
        <w:rPr>
          <w:rFonts w:hint="eastAsia"/>
          <w:lang w:val="en-US" w:eastAsia="zh-CN"/>
        </w:rPr>
        <w:t xml:space="preserve">表1 </w:t>
      </w:r>
      <w:bookmarkStart w:id="75" w:name="_GoBack"/>
      <w:bookmarkEnd w:id="75"/>
      <w:r>
        <w:rPr>
          <w:rFonts w:hint="eastAsia"/>
        </w:rPr>
        <w:t>石墨堆芯支承结构失效概率的规定限值</w:t>
      </w:r>
    </w:p>
    <w:tbl>
      <w:tblPr>
        <w:tblStyle w:val="36"/>
        <w:tblW w:w="5000" w:type="pct"/>
        <w:jc w:val="center"/>
        <w:tblBorders>
          <w:top w:val="single" w:color="auto" w:sz="4"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2529"/>
        <w:gridCol w:w="3281"/>
        <w:gridCol w:w="2712"/>
      </w:tblGrid>
      <w:tr w14:paraId="550FE975">
        <w:tblPrEx>
          <w:tblBorders>
            <w:top w:val="single" w:color="auto" w:sz="4" w:space="0"/>
            <w:left w:val="none" w:color="auto" w:sz="0" w:space="0"/>
            <w:bottom w:val="none" w:color="auto" w:sz="0" w:space="0"/>
            <w:right w:val="none" w:color="auto" w:sz="0" w:space="0"/>
            <w:insideH w:val="single" w:color="auto" w:sz="4" w:space="0"/>
            <w:insideV w:val="single" w:color="auto" w:sz="4" w:space="0"/>
          </w:tblBorders>
        </w:tblPrEx>
        <w:trPr>
          <w:jc w:val="center"/>
        </w:trPr>
        <w:tc>
          <w:tcPr>
            <w:tcW w:w="1484" w:type="pct"/>
            <w:tcBorders>
              <w:left w:val="single" w:color="auto" w:sz="4" w:space="0"/>
              <w:bottom w:val="single" w:color="auto" w:sz="4" w:space="0"/>
            </w:tcBorders>
            <w:vAlign w:val="center"/>
          </w:tcPr>
          <w:p w14:paraId="4E252CD1">
            <w:pPr>
              <w:ind w:firstLine="420"/>
              <w:jc w:val="center"/>
              <w:rPr>
                <w:bCs/>
                <w:color w:val="000000"/>
                <w:szCs w:val="21"/>
              </w:rPr>
            </w:pPr>
            <w:r>
              <w:rPr>
                <w:bCs/>
                <w:color w:val="000000"/>
                <w:szCs w:val="21"/>
              </w:rPr>
              <w:t>质量安全等级</w:t>
            </w:r>
          </w:p>
        </w:tc>
        <w:tc>
          <w:tcPr>
            <w:tcW w:w="1925" w:type="pct"/>
            <w:tcBorders>
              <w:bottom w:val="single" w:color="auto" w:sz="4" w:space="0"/>
            </w:tcBorders>
            <w:vAlign w:val="center"/>
          </w:tcPr>
          <w:p w14:paraId="03352D77">
            <w:pPr>
              <w:ind w:firstLine="420"/>
              <w:jc w:val="center"/>
              <w:rPr>
                <w:bCs/>
                <w:color w:val="000000"/>
                <w:szCs w:val="21"/>
              </w:rPr>
            </w:pPr>
            <w:r>
              <w:rPr>
                <w:bCs/>
                <w:color w:val="000000"/>
                <w:szCs w:val="21"/>
              </w:rPr>
              <w:t>A级限</w:t>
            </w:r>
            <w:r>
              <w:rPr>
                <w:rFonts w:hint="eastAsia"/>
                <w:bCs/>
                <w:color w:val="000000"/>
                <w:szCs w:val="21"/>
              </w:rPr>
              <w:t>值</w:t>
            </w:r>
          </w:p>
        </w:tc>
        <w:tc>
          <w:tcPr>
            <w:tcW w:w="1590" w:type="pct"/>
            <w:tcBorders>
              <w:bottom w:val="single" w:color="auto" w:sz="4" w:space="0"/>
              <w:right w:val="single" w:color="auto" w:sz="4" w:space="0"/>
            </w:tcBorders>
            <w:vAlign w:val="center"/>
          </w:tcPr>
          <w:p w14:paraId="2A1DD20C">
            <w:pPr>
              <w:ind w:firstLine="420"/>
              <w:jc w:val="center"/>
              <w:rPr>
                <w:bCs/>
                <w:color w:val="000000"/>
                <w:szCs w:val="21"/>
              </w:rPr>
            </w:pPr>
            <w:r>
              <w:rPr>
                <w:bCs/>
                <w:color w:val="000000"/>
                <w:szCs w:val="21"/>
              </w:rPr>
              <w:t>B级限</w:t>
            </w:r>
            <w:r>
              <w:rPr>
                <w:rFonts w:hint="eastAsia"/>
                <w:bCs/>
                <w:color w:val="000000"/>
                <w:szCs w:val="21"/>
              </w:rPr>
              <w:t>值</w:t>
            </w:r>
          </w:p>
        </w:tc>
      </w:tr>
      <w:tr w14:paraId="03D46461">
        <w:tblPrEx>
          <w:tblBorders>
            <w:top w:val="single" w:color="auto" w:sz="4"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84" w:type="pct"/>
            <w:tcBorders>
              <w:top w:val="single" w:color="auto" w:sz="4" w:space="0"/>
              <w:left w:val="single" w:color="auto" w:sz="4" w:space="0"/>
              <w:bottom w:val="single" w:color="auto" w:sz="4" w:space="0"/>
            </w:tcBorders>
            <w:vAlign w:val="center"/>
          </w:tcPr>
          <w:p w14:paraId="5E7C08D7">
            <w:pPr>
              <w:ind w:firstLine="420"/>
              <w:jc w:val="center"/>
              <w:rPr>
                <w:color w:val="000000"/>
                <w:szCs w:val="21"/>
              </w:rPr>
            </w:pPr>
            <w:r>
              <w:rPr>
                <w:color w:val="000000"/>
                <w:szCs w:val="21"/>
              </w:rPr>
              <w:t>I</w:t>
            </w:r>
          </w:p>
        </w:tc>
        <w:tc>
          <w:tcPr>
            <w:tcW w:w="1925" w:type="pct"/>
            <w:tcBorders>
              <w:top w:val="single" w:color="auto" w:sz="4" w:space="0"/>
              <w:bottom w:val="single" w:color="auto" w:sz="4" w:space="0"/>
            </w:tcBorders>
            <w:vAlign w:val="center"/>
          </w:tcPr>
          <w:p w14:paraId="576C0A0E">
            <w:pPr>
              <w:ind w:firstLine="420"/>
              <w:jc w:val="center"/>
              <w:rPr>
                <w:color w:val="000000"/>
                <w:szCs w:val="21"/>
              </w:rPr>
            </w:pPr>
            <w:r>
              <w:rPr>
                <w:color w:val="000000"/>
                <w:szCs w:val="21"/>
              </w:rPr>
              <w:t>0.0001</w:t>
            </w:r>
          </w:p>
        </w:tc>
        <w:tc>
          <w:tcPr>
            <w:tcW w:w="1590" w:type="pct"/>
            <w:tcBorders>
              <w:top w:val="single" w:color="auto" w:sz="4" w:space="0"/>
              <w:bottom w:val="single" w:color="auto" w:sz="4" w:space="0"/>
              <w:right w:val="single" w:color="auto" w:sz="4" w:space="0"/>
            </w:tcBorders>
            <w:vAlign w:val="center"/>
          </w:tcPr>
          <w:p w14:paraId="66CA8EC7">
            <w:pPr>
              <w:ind w:firstLine="420"/>
              <w:jc w:val="center"/>
              <w:rPr>
                <w:color w:val="000000"/>
                <w:szCs w:val="21"/>
              </w:rPr>
            </w:pPr>
            <w:r>
              <w:rPr>
                <w:color w:val="000000"/>
                <w:szCs w:val="21"/>
              </w:rPr>
              <w:t>0.001</w:t>
            </w:r>
          </w:p>
        </w:tc>
      </w:tr>
      <w:tr w14:paraId="019A7217">
        <w:tblPrEx>
          <w:tblBorders>
            <w:top w:val="single" w:color="auto" w:sz="4"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84" w:type="pct"/>
            <w:tcBorders>
              <w:top w:val="single" w:color="auto" w:sz="4" w:space="0"/>
              <w:left w:val="single" w:color="auto" w:sz="4" w:space="0"/>
              <w:bottom w:val="single" w:color="auto" w:sz="4" w:space="0"/>
            </w:tcBorders>
            <w:vAlign w:val="center"/>
          </w:tcPr>
          <w:p w14:paraId="061B88ED">
            <w:pPr>
              <w:ind w:firstLine="420"/>
              <w:jc w:val="center"/>
              <w:rPr>
                <w:color w:val="000000"/>
                <w:szCs w:val="21"/>
              </w:rPr>
            </w:pPr>
            <w:r>
              <w:rPr>
                <w:color w:val="000000"/>
                <w:szCs w:val="21"/>
              </w:rPr>
              <w:t>II</w:t>
            </w:r>
          </w:p>
        </w:tc>
        <w:tc>
          <w:tcPr>
            <w:tcW w:w="1925" w:type="pct"/>
            <w:tcBorders>
              <w:top w:val="single" w:color="auto" w:sz="4" w:space="0"/>
              <w:bottom w:val="single" w:color="auto" w:sz="4" w:space="0"/>
            </w:tcBorders>
            <w:vAlign w:val="center"/>
          </w:tcPr>
          <w:p w14:paraId="69609B9A">
            <w:pPr>
              <w:ind w:firstLine="420"/>
              <w:jc w:val="center"/>
              <w:rPr>
                <w:color w:val="000000"/>
                <w:szCs w:val="21"/>
              </w:rPr>
            </w:pPr>
            <w:r>
              <w:rPr>
                <w:color w:val="000000"/>
                <w:szCs w:val="21"/>
              </w:rPr>
              <w:t>0.0001-0.01</w:t>
            </w:r>
            <w:r>
              <w:rPr>
                <w:rFonts w:hint="eastAsia"/>
                <w:szCs w:val="21"/>
                <w:vertAlign w:val="superscript"/>
              </w:rPr>
              <w:t>a</w:t>
            </w:r>
          </w:p>
        </w:tc>
        <w:tc>
          <w:tcPr>
            <w:tcW w:w="1590" w:type="pct"/>
            <w:tcBorders>
              <w:top w:val="single" w:color="auto" w:sz="4" w:space="0"/>
              <w:bottom w:val="single" w:color="auto" w:sz="4" w:space="0"/>
              <w:right w:val="single" w:color="auto" w:sz="4" w:space="0"/>
            </w:tcBorders>
            <w:vAlign w:val="center"/>
          </w:tcPr>
          <w:p w14:paraId="3A3E42EE">
            <w:pPr>
              <w:ind w:firstLine="420"/>
              <w:jc w:val="center"/>
              <w:rPr>
                <w:color w:val="000000"/>
                <w:szCs w:val="21"/>
              </w:rPr>
            </w:pPr>
            <w:r>
              <w:rPr>
                <w:color w:val="000000"/>
                <w:szCs w:val="21"/>
              </w:rPr>
              <w:t>0.05</w:t>
            </w:r>
          </w:p>
        </w:tc>
      </w:tr>
      <w:tr w14:paraId="09B68191">
        <w:tblPrEx>
          <w:tblBorders>
            <w:top w:val="single" w:color="auto" w:sz="4"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84" w:type="pct"/>
            <w:tcBorders>
              <w:top w:val="single" w:color="auto" w:sz="4" w:space="0"/>
              <w:left w:val="single" w:color="auto" w:sz="4" w:space="0"/>
              <w:bottom w:val="single" w:color="auto" w:sz="4" w:space="0"/>
            </w:tcBorders>
            <w:vAlign w:val="center"/>
          </w:tcPr>
          <w:p w14:paraId="1D1796BA">
            <w:pPr>
              <w:ind w:firstLine="420"/>
              <w:jc w:val="center"/>
              <w:rPr>
                <w:color w:val="000000"/>
                <w:szCs w:val="21"/>
              </w:rPr>
            </w:pPr>
            <w:r>
              <w:rPr>
                <w:color w:val="000000"/>
                <w:szCs w:val="21"/>
              </w:rPr>
              <w:t>III</w:t>
            </w:r>
          </w:p>
        </w:tc>
        <w:tc>
          <w:tcPr>
            <w:tcW w:w="1925" w:type="pct"/>
            <w:tcBorders>
              <w:top w:val="single" w:color="auto" w:sz="4" w:space="0"/>
              <w:bottom w:val="single" w:color="auto" w:sz="4" w:space="0"/>
            </w:tcBorders>
            <w:vAlign w:val="center"/>
          </w:tcPr>
          <w:p w14:paraId="2CFE2428">
            <w:pPr>
              <w:ind w:firstLine="420"/>
              <w:jc w:val="center"/>
              <w:rPr>
                <w:color w:val="000000"/>
                <w:szCs w:val="21"/>
              </w:rPr>
            </w:pPr>
            <w:r>
              <w:rPr>
                <w:color w:val="000000"/>
                <w:szCs w:val="21"/>
              </w:rPr>
              <w:t>0.01</w:t>
            </w:r>
          </w:p>
        </w:tc>
        <w:tc>
          <w:tcPr>
            <w:tcW w:w="1590" w:type="pct"/>
            <w:tcBorders>
              <w:top w:val="single" w:color="auto" w:sz="4" w:space="0"/>
              <w:bottom w:val="single" w:color="auto" w:sz="4" w:space="0"/>
              <w:right w:val="single" w:color="auto" w:sz="4" w:space="0"/>
            </w:tcBorders>
            <w:vAlign w:val="center"/>
          </w:tcPr>
          <w:p w14:paraId="2CBDD58E">
            <w:pPr>
              <w:ind w:firstLine="420"/>
              <w:jc w:val="center"/>
              <w:rPr>
                <w:color w:val="000000"/>
                <w:szCs w:val="21"/>
              </w:rPr>
            </w:pPr>
            <w:r>
              <w:rPr>
                <w:color w:val="000000"/>
                <w:szCs w:val="21"/>
              </w:rPr>
              <w:t>0.05</w:t>
            </w:r>
          </w:p>
        </w:tc>
      </w:tr>
      <w:tr w14:paraId="3094ABB7">
        <w:tblPrEx>
          <w:tblBorders>
            <w:top w:val="single" w:color="auto" w:sz="4"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3"/>
            <w:tcBorders>
              <w:top w:val="single" w:color="auto" w:sz="4" w:space="0"/>
              <w:left w:val="single" w:color="auto" w:sz="4" w:space="0"/>
              <w:bottom w:val="single" w:color="auto" w:sz="4" w:space="0"/>
              <w:right w:val="single" w:color="auto" w:sz="4" w:space="0"/>
            </w:tcBorders>
            <w:vAlign w:val="center"/>
          </w:tcPr>
          <w:p w14:paraId="399552C2">
            <w:pPr>
              <w:jc w:val="left"/>
              <w:rPr>
                <w:color w:val="000000"/>
                <w:szCs w:val="21"/>
              </w:rPr>
            </w:pPr>
            <w:r>
              <w:rPr>
                <w:rFonts w:hint="eastAsia"/>
                <w:color w:val="000000"/>
                <w:sz w:val="18"/>
                <w:szCs w:val="18"/>
              </w:rPr>
              <w:t>注：</w:t>
            </w:r>
            <w:r>
              <w:rPr>
                <w:rFonts w:hint="eastAsia"/>
                <w:color w:val="000000"/>
                <w:vertAlign w:val="superscript"/>
              </w:rPr>
              <w:t>a</w:t>
            </w:r>
            <w:r>
              <w:rPr>
                <w:color w:val="000000"/>
              </w:rPr>
              <w:t xml:space="preserve">  </w:t>
            </w:r>
            <w:r>
              <w:rPr>
                <w:color w:val="000000"/>
                <w:sz w:val="18"/>
                <w:szCs w:val="18"/>
              </w:rPr>
              <w:t xml:space="preserve">0.0001 </w:t>
            </w:r>
            <w:r>
              <w:rPr>
                <w:rFonts w:hint="eastAsia"/>
                <w:color w:val="000000"/>
                <w:sz w:val="18"/>
                <w:szCs w:val="18"/>
              </w:rPr>
              <w:t>是对运行初期，</w:t>
            </w:r>
            <w:r>
              <w:rPr>
                <w:color w:val="000000"/>
                <w:sz w:val="18"/>
                <w:szCs w:val="18"/>
              </w:rPr>
              <w:t>0.01</w:t>
            </w:r>
            <w:r>
              <w:rPr>
                <w:rFonts w:hint="eastAsia"/>
                <w:color w:val="000000"/>
                <w:sz w:val="18"/>
                <w:szCs w:val="18"/>
              </w:rPr>
              <w:t>是对运行末期。</w:t>
            </w:r>
          </w:p>
        </w:tc>
      </w:tr>
    </w:tbl>
    <w:p w14:paraId="6CB38801">
      <w:pPr>
        <w:pStyle w:val="70"/>
        <w:ind w:left="848" w:hanging="848"/>
        <w:rPr>
          <w:rFonts w:hint="eastAsia" w:ascii="黑体" w:hAnsi="黑体" w:eastAsia="黑体" w:cs="黑体"/>
        </w:rPr>
      </w:pPr>
      <w:r>
        <w:rPr>
          <w:rFonts w:hint="eastAsia" w:ascii="黑体" w:hAnsi="黑体" w:eastAsia="黑体" w:cs="黑体"/>
        </w:rPr>
        <w:t>变形限值</w:t>
      </w:r>
    </w:p>
    <w:p w14:paraId="3E75898C">
      <w:pPr>
        <w:pStyle w:val="121"/>
        <w:numPr>
          <w:ilvl w:val="3"/>
          <w:numId w:val="0"/>
        </w:numPr>
        <w:ind w:firstLine="420"/>
      </w:pPr>
      <w:r>
        <w:rPr>
          <w:rFonts w:hint="eastAsia"/>
        </w:rPr>
        <w:t>石墨结构内的变形（包括由机械载荷、热载荷、辐照载荷及其它有关载荷引起的变形值之和）应小于变形限值，应在制订石墨堆芯支承结构设备规格书时给出变形限值。</w:t>
      </w:r>
    </w:p>
    <w:p w14:paraId="3E2A8B03">
      <w:pPr>
        <w:pStyle w:val="52"/>
        <w:spacing w:before="312" w:after="312"/>
      </w:pPr>
      <w:bookmarkStart w:id="65" w:name="_Toc221100362"/>
      <w:bookmarkStart w:id="66" w:name="_Toc58350470"/>
      <w:bookmarkStart w:id="67" w:name="_Toc58350299"/>
      <w:bookmarkStart w:id="68" w:name="_Toc53066482"/>
      <w:r>
        <w:rPr>
          <w:rFonts w:hint="eastAsia"/>
        </w:rPr>
        <w:t>结构设计、部件制造与安装</w:t>
      </w:r>
      <w:bookmarkEnd w:id="65"/>
      <w:bookmarkEnd w:id="66"/>
      <w:bookmarkEnd w:id="67"/>
      <w:bookmarkEnd w:id="68"/>
    </w:p>
    <w:p w14:paraId="0123D30D">
      <w:pPr>
        <w:pStyle w:val="49"/>
        <w:spacing w:before="156" w:after="156"/>
      </w:pPr>
      <w:bookmarkStart w:id="69" w:name="_Toc53066483"/>
      <w:r>
        <w:rPr>
          <w:rFonts w:hint="eastAsia"/>
        </w:rPr>
        <w:t>结构设计</w:t>
      </w:r>
      <w:bookmarkEnd w:id="69"/>
    </w:p>
    <w:p w14:paraId="56644ED9">
      <w:pPr>
        <w:pStyle w:val="121"/>
        <w:numPr>
          <w:ilvl w:val="3"/>
          <w:numId w:val="0"/>
        </w:numPr>
        <w:ind w:firstLine="420"/>
      </w:pPr>
      <w:r>
        <w:rPr>
          <w:rFonts w:hint="eastAsia"/>
        </w:rPr>
        <w:t>石墨堆芯支承结构在结构设计时应满足以下要求：</w:t>
      </w:r>
    </w:p>
    <w:p w14:paraId="6131AC5A">
      <w:pPr>
        <w:pStyle w:val="66"/>
        <w:numPr>
          <w:ilvl w:val="0"/>
          <w:numId w:val="19"/>
        </w:numPr>
      </w:pPr>
      <w:r>
        <w:rPr>
          <w:rFonts w:hint="eastAsia"/>
        </w:rPr>
        <w:t>石墨结构的设计应保证控制棒孔道的对中要求；</w:t>
      </w:r>
    </w:p>
    <w:p w14:paraId="49ADF5FA">
      <w:pPr>
        <w:pStyle w:val="66"/>
        <w:numPr>
          <w:ilvl w:val="0"/>
          <w:numId w:val="19"/>
        </w:numPr>
      </w:pPr>
      <w:r>
        <w:rPr>
          <w:rFonts w:hint="eastAsia"/>
        </w:rPr>
        <w:t>在石墨部件上作用的机械载荷应以压应力为主，尽量避免受拉应力作用；</w:t>
      </w:r>
    </w:p>
    <w:p w14:paraId="31C24645">
      <w:pPr>
        <w:pStyle w:val="66"/>
        <w:numPr>
          <w:ilvl w:val="0"/>
          <w:numId w:val="19"/>
        </w:numPr>
      </w:pPr>
      <w:r>
        <w:rPr>
          <w:rFonts w:hint="eastAsia"/>
        </w:rPr>
        <w:t>不应妨碍相邻块之间位移差的补偿；</w:t>
      </w:r>
    </w:p>
    <w:p w14:paraId="050EA5BA">
      <w:pPr>
        <w:pStyle w:val="66"/>
        <w:numPr>
          <w:ilvl w:val="0"/>
          <w:numId w:val="19"/>
        </w:numPr>
      </w:pPr>
      <w:r>
        <w:rPr>
          <w:rFonts w:hint="eastAsia"/>
        </w:rPr>
        <w:t>材料的结构变形不影响结构的稳定性；</w:t>
      </w:r>
    </w:p>
    <w:p w14:paraId="1DF89030">
      <w:pPr>
        <w:pStyle w:val="66"/>
        <w:numPr>
          <w:ilvl w:val="0"/>
          <w:numId w:val="19"/>
        </w:numPr>
      </w:pPr>
      <w:r>
        <w:rPr>
          <w:rFonts w:hint="eastAsia"/>
        </w:rPr>
        <w:t>在石墨和碳结构内部位移和缝隙的积累要限制在允许值的范围内，避免在局部形成过大的缝隙；</w:t>
      </w:r>
    </w:p>
    <w:p w14:paraId="63C03D14">
      <w:pPr>
        <w:pStyle w:val="66"/>
        <w:numPr>
          <w:ilvl w:val="0"/>
          <w:numId w:val="19"/>
        </w:numPr>
      </w:pPr>
      <w:r>
        <w:rPr>
          <w:rFonts w:hint="eastAsia"/>
        </w:rPr>
        <w:t>在单个部件失效时不影响整体结构的连结，不损害反应堆运行的安全性；</w:t>
      </w:r>
    </w:p>
    <w:p w14:paraId="60F41895">
      <w:pPr>
        <w:pStyle w:val="66"/>
        <w:numPr>
          <w:ilvl w:val="0"/>
          <w:numId w:val="19"/>
        </w:numPr>
      </w:pPr>
      <w:r>
        <w:rPr>
          <w:rFonts w:hint="eastAsia"/>
        </w:rPr>
        <w:t>在决定石墨部件的公差时应保证在接触处不产生过大的挤压应力；</w:t>
      </w:r>
    </w:p>
    <w:p w14:paraId="0F5FF0B0">
      <w:pPr>
        <w:pStyle w:val="66"/>
        <w:numPr>
          <w:ilvl w:val="0"/>
          <w:numId w:val="19"/>
        </w:numPr>
      </w:pPr>
      <w:r>
        <w:rPr>
          <w:rFonts w:hint="eastAsia"/>
        </w:rPr>
        <w:t>在石墨砖上所开槽孔的内角都应进行倒圆，以防局部产生过大的应力集中而导致破坏。凡和燃料球，石墨球相接触的石墨砖的棱边及开孔的边缘也</w:t>
      </w:r>
      <w:r>
        <w:t>必须</w:t>
      </w:r>
      <w:r>
        <w:rPr>
          <w:rFonts w:hint="eastAsia"/>
        </w:rPr>
        <w:t>进行倒圆以避免造成棱边处过快的摩损和产生更多的石墨粉尘；</w:t>
      </w:r>
    </w:p>
    <w:p w14:paraId="6EA13A45">
      <w:pPr>
        <w:pStyle w:val="66"/>
        <w:numPr>
          <w:ilvl w:val="0"/>
          <w:numId w:val="19"/>
        </w:numPr>
      </w:pPr>
      <w:r>
        <w:rPr>
          <w:rFonts w:hint="eastAsia"/>
        </w:rPr>
        <w:t>石墨是各向异性材料，因此石墨部件的设计、加工和安装都要考虑其方向性；</w:t>
      </w:r>
    </w:p>
    <w:p w14:paraId="3A455AF5">
      <w:pPr>
        <w:pStyle w:val="66"/>
        <w:numPr>
          <w:ilvl w:val="0"/>
          <w:numId w:val="19"/>
        </w:numPr>
      </w:pPr>
      <w:r>
        <w:rPr>
          <w:rFonts w:hint="eastAsia"/>
        </w:rPr>
        <w:t>在石墨堆芯支承结构的设计过程中，要尽量减少各部结构间的漏流。在侧反射层的设计中要保证绝大部分的氦气通过燃料球床，保证堆芯的有效冷却；</w:t>
      </w:r>
    </w:p>
    <w:p w14:paraId="11BF4671">
      <w:pPr>
        <w:pStyle w:val="66"/>
        <w:numPr>
          <w:ilvl w:val="0"/>
          <w:numId w:val="19"/>
        </w:numPr>
      </w:pPr>
      <w:r>
        <w:rPr>
          <w:rFonts w:hint="eastAsia"/>
        </w:rPr>
        <w:t>石墨部件的设计要考虑因水或水蒸汽浸入而造成的腐蚀；</w:t>
      </w:r>
    </w:p>
    <w:p w14:paraId="71FE23EE">
      <w:pPr>
        <w:pStyle w:val="66"/>
        <w:numPr>
          <w:ilvl w:val="0"/>
          <w:numId w:val="19"/>
        </w:numPr>
      </w:pPr>
      <w:r>
        <w:rPr>
          <w:rFonts w:hint="eastAsia"/>
        </w:rPr>
        <w:t>石墨堆芯支承结构各部件的设计必须考虑其制造、安装的方便，要充分考虑经济性的要求；</w:t>
      </w:r>
    </w:p>
    <w:p w14:paraId="3DB55B38">
      <w:pPr>
        <w:pStyle w:val="66"/>
        <w:numPr>
          <w:ilvl w:val="0"/>
          <w:numId w:val="19"/>
        </w:numPr>
      </w:pPr>
      <w:r>
        <w:rPr>
          <w:rFonts w:hint="eastAsia"/>
        </w:rPr>
        <w:t>石墨堆芯支承结构各部件的设计必须考虑在反应堆寿期末拆卸的可能性。如果反射层石墨部件在达到寿命以后需要更换则必须进行可更换反射层的结构设计；</w:t>
      </w:r>
    </w:p>
    <w:p w14:paraId="717953A0">
      <w:pPr>
        <w:pStyle w:val="66"/>
        <w:numPr>
          <w:ilvl w:val="0"/>
          <w:numId w:val="19"/>
        </w:numPr>
      </w:pPr>
      <w:r>
        <w:rPr>
          <w:rFonts w:hint="eastAsia"/>
        </w:rPr>
        <w:t>石墨堆芯支承结构的结构设计必须考虑在制造和安装过程中检查的可能性。</w:t>
      </w:r>
    </w:p>
    <w:p w14:paraId="568A0A9F">
      <w:pPr>
        <w:pStyle w:val="121"/>
        <w:numPr>
          <w:ilvl w:val="3"/>
          <w:numId w:val="0"/>
        </w:numPr>
        <w:ind w:firstLine="420"/>
      </w:pPr>
      <w:r>
        <w:rPr>
          <w:rFonts w:hint="eastAsia"/>
        </w:rPr>
        <w:t>结构设计的图纸和技术条件，设备规格书以及各种技术规格书是进行石墨堆芯支承结构制造和安装的依据，应按照规范的规定提供各种技术文件。对图纸和技术文件的修改应按照规定的程序进行。</w:t>
      </w:r>
    </w:p>
    <w:p w14:paraId="08C66C60">
      <w:pPr>
        <w:pStyle w:val="49"/>
        <w:spacing w:before="156" w:after="156"/>
      </w:pPr>
      <w:bookmarkStart w:id="70" w:name="_Toc53066484"/>
      <w:r>
        <w:rPr>
          <w:rFonts w:hint="eastAsia"/>
        </w:rPr>
        <w:t>制造和安装</w:t>
      </w:r>
      <w:bookmarkEnd w:id="70"/>
    </w:p>
    <w:p w14:paraId="3F3866F5">
      <w:pPr>
        <w:pStyle w:val="70"/>
        <w:ind w:left="848" w:hanging="848"/>
      </w:pPr>
      <w:r>
        <w:rPr>
          <w:rFonts w:hint="eastAsia"/>
        </w:rPr>
        <w:t>反应堆石墨堆芯支承结构在安装之前必须确定哪些构件应在生产厂家进行试装。</w:t>
      </w:r>
    </w:p>
    <w:p w14:paraId="71D294CD">
      <w:pPr>
        <w:pStyle w:val="70"/>
        <w:ind w:left="848" w:hanging="848"/>
        <w:rPr>
          <w:rFonts w:hint="eastAsia"/>
        </w:rPr>
      </w:pPr>
      <w:r>
        <w:rPr>
          <w:rFonts w:hint="eastAsia"/>
        </w:rPr>
        <w:t>反应堆石墨堆芯支承结构在制造时应预留出足够的备用件或备用料。</w:t>
      </w:r>
    </w:p>
    <w:p w14:paraId="36A36779">
      <w:pPr>
        <w:pStyle w:val="70"/>
        <w:ind w:left="848" w:hanging="848"/>
        <w:rPr>
          <w:rFonts w:hint="eastAsia"/>
        </w:rPr>
      </w:pPr>
      <w:r>
        <w:rPr>
          <w:rFonts w:hint="eastAsia"/>
        </w:rPr>
        <w:t>在石墨堆芯支承结构制造和安装之前要提出通过检查、监督和试验来保证安装质量的措施。</w:t>
      </w:r>
    </w:p>
    <w:p w14:paraId="35C54F1F">
      <w:pPr>
        <w:pStyle w:val="70"/>
        <w:ind w:left="848" w:hanging="848"/>
        <w:rPr>
          <w:rFonts w:hint="eastAsia"/>
        </w:rPr>
      </w:pPr>
      <w:r>
        <w:rPr>
          <w:rFonts w:hint="eastAsia"/>
        </w:rPr>
        <w:t>在石墨堆芯支承结构制造和安装过程中，石墨和碳坯料和成品件的储存和清洁必须要有专门的规定。</w:t>
      </w:r>
    </w:p>
    <w:p w14:paraId="6D791AA5">
      <w:pPr>
        <w:pStyle w:val="52"/>
        <w:spacing w:before="312" w:after="312"/>
      </w:pPr>
      <w:bookmarkStart w:id="71" w:name="_Toc58350471"/>
      <w:bookmarkStart w:id="72" w:name="_Toc58350300"/>
      <w:bookmarkStart w:id="73" w:name="_Toc221100363"/>
      <w:bookmarkStart w:id="74" w:name="_Toc53066485"/>
      <w:r>
        <w:rPr>
          <w:rFonts w:hint="eastAsia"/>
        </w:rPr>
        <w:t>石墨堆芯支承结构与其它堆芯支承结构或堆体接口的设计准则</w:t>
      </w:r>
      <w:bookmarkEnd w:id="71"/>
      <w:bookmarkEnd w:id="72"/>
      <w:bookmarkEnd w:id="73"/>
      <w:bookmarkEnd w:id="74"/>
    </w:p>
    <w:p w14:paraId="5A002998">
      <w:pPr>
        <w:pStyle w:val="135"/>
        <w:ind w:left="0" w:firstLine="0" w:firstLineChars="0"/>
      </w:pPr>
      <w:r>
        <w:rPr>
          <w:rFonts w:hint="eastAsia"/>
        </w:rPr>
        <w:t>反射层的内表面的形状必须保证燃料球流动的通畅，不致卡球、滞流和使球床密实化。反射层内表面应有足够的强度。石墨卸球管内表面应保证光滑，有足够大的直径，避免卡球和搭桥。</w:t>
      </w:r>
    </w:p>
    <w:p w14:paraId="53489D96">
      <w:pPr>
        <w:pStyle w:val="135"/>
        <w:ind w:left="0" w:firstLine="0" w:firstLineChars="0"/>
      </w:pPr>
      <w:r>
        <w:rPr>
          <w:rFonts w:hint="eastAsia"/>
        </w:rPr>
        <w:t>反射层内控制棒孔道和吸收球孔道必须保证和相关金属导向管结构能很好的对中配合。</w:t>
      </w:r>
    </w:p>
    <w:p w14:paraId="23D25684">
      <w:pPr>
        <w:pStyle w:val="135"/>
        <w:ind w:left="0" w:firstLine="0" w:firstLineChars="0"/>
      </w:pPr>
      <w:r>
        <w:rPr>
          <w:rFonts w:hint="eastAsia"/>
        </w:rPr>
        <w:t>保证石墨堆芯支承结构的热气室出口和热气导管的对中和阻流。</w:t>
      </w:r>
    </w:p>
    <w:p w14:paraId="574DC351">
      <w:pPr>
        <w:pStyle w:val="135"/>
        <w:ind w:left="0" w:firstLine="0" w:firstLineChars="0"/>
      </w:pPr>
      <w:r>
        <w:rPr>
          <w:rFonts w:hint="eastAsia"/>
        </w:rPr>
        <w:t>石墨堆芯支承结构和金属堆芯壳之间，石墨结构和上部金属结构之间的间隙大小要适当，既能做到有效的限位又能避免产生过大的挤压应力。</w:t>
      </w:r>
    </w:p>
    <w:p w14:paraId="5D4AF18F">
      <w:pPr>
        <w:pStyle w:val="135"/>
        <w:ind w:left="0" w:firstLine="0" w:firstLineChars="0"/>
      </w:pPr>
      <w:r>
        <w:rPr>
          <w:rFonts w:hint="eastAsia"/>
        </w:rPr>
        <w:t>石墨堆芯支承结构和金属部件之间的热膨胀差应该通过正确的结构设计得到补偿。</w:t>
      </w:r>
    </w:p>
    <w:bookmarkEnd w:id="16"/>
    <w:bookmarkEnd w:id="17"/>
    <w:bookmarkEnd w:id="18"/>
    <w:bookmarkEnd w:id="19"/>
    <w:bookmarkEnd w:id="20"/>
    <w:p w14:paraId="253AD530">
      <w:pPr>
        <w:widowControl/>
        <w:jc w:val="left"/>
        <w:rPr>
          <w:rFonts w:ascii="宋体"/>
          <w:kern w:val="0"/>
          <w:szCs w:val="20"/>
        </w:rPr>
      </w:pPr>
    </w:p>
    <w:p w14:paraId="76A90686">
      <w:pPr>
        <w:widowControl/>
        <w:jc w:val="left"/>
        <w:rPr>
          <w:rFonts w:ascii="宋体"/>
          <w:kern w:val="0"/>
          <w:szCs w:val="20"/>
        </w:rPr>
      </w:pPr>
      <w:r>
        <w:pict>
          <v:line id="_x0000_s3081" o:spid="_x0000_s3081" o:spt="20" style="position:absolute;left:0pt;margin-left:146.45pt;margin-top:3.2pt;height:1.15pt;width:118.25pt;z-index:251665408;mso-width-relative:page;mso-height-relative:page;" stroked="t" coordsize="21600,21600" o:gfxdata="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IW+4p9oAAAALAQAADwAAAAAAAAABACAAAAAiAAAAZHJzL2Rvd25yZXYueG1sUEsB&#10;AhQAFAAAAAgAh07iQDW5iIbzAQAAwgMAAA4AAAAAAAAAAQAgAAAAKQEAAGRycy9lMm9Eb2MueG1s&#10;UEsFBgAAAAAGAAYAWQEAAI4FAAAAAA==&#10;">
            <v:path arrowok="t"/>
            <v:fill focussize="0,0"/>
            <v:stroke weight="1pt" color="#000000" joinstyle="miter"/>
            <v:imagedata o:title=""/>
            <o:lock v:ext="edit"/>
          </v:line>
        </w:pic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0E34E3">
    <w:pPr>
      <w:pStyle w:val="50"/>
      <w:jc w:val="center"/>
    </w:pPr>
    <w:r>
      <w:fldChar w:fldCharType="begin"/>
    </w:r>
    <w:r>
      <w:instrText xml:space="preserve"> PAGE  \* MERGEFORMAT </w:instrText>
    </w:r>
    <w:r>
      <w:fldChar w:fldCharType="separate"/>
    </w:r>
    <w:r>
      <w:t>I</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02376896"/>
    </w:sdtPr>
    <w:sdtContent>
      <w:p w14:paraId="26C6F93E">
        <w:pPr>
          <w:pStyle w:val="19"/>
          <w:jc w:val="center"/>
        </w:pPr>
        <w:r>
          <w:fldChar w:fldCharType="begin"/>
        </w:r>
        <w:r>
          <w:instrText xml:space="preserve">PAGE   \* MERGEFORMAT</w:instrText>
        </w:r>
        <w:r>
          <w:fldChar w:fldCharType="separate"/>
        </w:r>
        <w:r>
          <w:rPr>
            <w:lang w:val="zh-CN"/>
          </w:rPr>
          <w:t>8</w:t>
        </w:r>
        <w:r>
          <w:fldChar w:fldCharType="end"/>
        </w:r>
      </w:p>
    </w:sdtContent>
  </w:sdt>
  <w:p w14:paraId="3A548AFA">
    <w:pPr>
      <w:pStyle w:val="1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A46E57">
    <w:pPr>
      <w:pStyle w:val="51"/>
      <w:ind w:right="420"/>
    </w:pPr>
    <w:r>
      <w:t xml:space="preserve">T/CNS </w:t>
    </w:r>
    <w:r>
      <w:rPr>
        <w:rFonts w:hint="eastAsia"/>
        <w:color w:val="FF0000"/>
      </w:rPr>
      <w:t>XXX</w:t>
    </w:r>
    <w:r>
      <w:t>—</w:t>
    </w:r>
    <w:r>
      <w:rPr>
        <w:rFonts w:hint="eastAsia"/>
      </w:rPr>
      <w:t>20</w:t>
    </w:r>
    <w:r>
      <w:t>2</w:t>
    </w:r>
    <w:r>
      <w:rPr>
        <w:rFonts w:hint="eastAsia"/>
      </w:rPr>
      <w:t>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0613FF">
    <w:pPr>
      <w:pStyle w:val="51"/>
      <w:ind w:right="420"/>
      <w:jc w:val="left"/>
    </w:pPr>
    <w:r>
      <w:t xml:space="preserve">T/CNS </w:t>
    </w:r>
    <w:r>
      <w:rPr>
        <w:rFonts w:hint="eastAsia"/>
        <w:color w:val="FF0000"/>
      </w:rPr>
      <w:t>XXX</w:t>
    </w:r>
    <w:r>
      <w:t>—</w:t>
    </w:r>
    <w:r>
      <w:rPr>
        <w:rFonts w:hint="eastAsia"/>
      </w:rPr>
      <w:t>20</w:t>
    </w:r>
    <w:r>
      <w:t>2</w:t>
    </w:r>
    <w:r>
      <w:rPr>
        <w:rFonts w:hint="eastAsia"/>
      </w:rPr>
      <w:t>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7B94BF"/>
    <w:multiLevelType w:val="multilevel"/>
    <w:tmpl w:val="EB7B94BF"/>
    <w:lvl w:ilvl="0" w:tentative="0">
      <w:start w:val="1"/>
      <w:numFmt w:val="lowerLetter"/>
      <w:lvlText w:val="%1)"/>
      <w:lvlJc w:val="left"/>
      <w:pPr>
        <w:ind w:left="2520" w:hanging="420"/>
      </w:pPr>
    </w:lvl>
    <w:lvl w:ilvl="1" w:tentative="0">
      <w:start w:val="1"/>
      <w:numFmt w:val="lowerLetter"/>
      <w:lvlText w:val="%2)"/>
      <w:lvlJc w:val="left"/>
      <w:pPr>
        <w:ind w:left="2940" w:hanging="420"/>
      </w:pPr>
    </w:lvl>
    <w:lvl w:ilvl="2" w:tentative="0">
      <w:start w:val="1"/>
      <w:numFmt w:val="lowerRoman"/>
      <w:lvlText w:val="%3."/>
      <w:lvlJc w:val="right"/>
      <w:pPr>
        <w:ind w:left="3360" w:hanging="420"/>
      </w:pPr>
    </w:lvl>
    <w:lvl w:ilvl="3" w:tentative="0">
      <w:start w:val="1"/>
      <w:numFmt w:val="decimal"/>
      <w:lvlText w:val="%4."/>
      <w:lvlJc w:val="left"/>
      <w:pPr>
        <w:ind w:left="3780" w:hanging="420"/>
      </w:pPr>
    </w:lvl>
    <w:lvl w:ilvl="4" w:tentative="0">
      <w:start w:val="1"/>
      <w:numFmt w:val="lowerLetter"/>
      <w:lvlText w:val="%5)"/>
      <w:lvlJc w:val="left"/>
      <w:pPr>
        <w:ind w:left="4200" w:hanging="420"/>
      </w:pPr>
    </w:lvl>
    <w:lvl w:ilvl="5" w:tentative="0">
      <w:start w:val="1"/>
      <w:numFmt w:val="lowerRoman"/>
      <w:lvlText w:val="%6."/>
      <w:lvlJc w:val="right"/>
      <w:pPr>
        <w:ind w:left="4620" w:hanging="420"/>
      </w:pPr>
    </w:lvl>
    <w:lvl w:ilvl="6" w:tentative="0">
      <w:start w:val="1"/>
      <w:numFmt w:val="decimal"/>
      <w:lvlText w:val="%7."/>
      <w:lvlJc w:val="left"/>
      <w:pPr>
        <w:ind w:left="5040" w:hanging="420"/>
      </w:pPr>
    </w:lvl>
    <w:lvl w:ilvl="7" w:tentative="0">
      <w:start w:val="1"/>
      <w:numFmt w:val="lowerLetter"/>
      <w:lvlText w:val="%8)"/>
      <w:lvlJc w:val="left"/>
      <w:pPr>
        <w:ind w:left="5460" w:hanging="420"/>
      </w:pPr>
    </w:lvl>
    <w:lvl w:ilvl="8" w:tentative="0">
      <w:start w:val="1"/>
      <w:numFmt w:val="lowerRoman"/>
      <w:lvlText w:val="%9."/>
      <w:lvlJc w:val="right"/>
      <w:pPr>
        <w:ind w:left="5880" w:hanging="420"/>
      </w:pPr>
    </w:lvl>
  </w:abstractNum>
  <w:abstractNum w:abstractNumId="1">
    <w:nsid w:val="079102AD"/>
    <w:multiLevelType w:val="multilevel"/>
    <w:tmpl w:val="079102AD"/>
    <w:lvl w:ilvl="0" w:tentative="0">
      <w:start w:val="1"/>
      <w:numFmt w:val="decimal"/>
      <w:pStyle w:val="65"/>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2">
    <w:nsid w:val="12173C47"/>
    <w:multiLevelType w:val="multilevel"/>
    <w:tmpl w:val="12173C47"/>
    <w:lvl w:ilvl="0" w:tentative="0">
      <w:start w:val="1"/>
      <w:numFmt w:val="lowerLetter"/>
      <w:lvlText w:val="%1)"/>
      <w:lvlJc w:val="left"/>
      <w:pPr>
        <w:ind w:left="2520" w:hanging="420"/>
      </w:pPr>
    </w:lvl>
    <w:lvl w:ilvl="1" w:tentative="0">
      <w:start w:val="1"/>
      <w:numFmt w:val="lowerLetter"/>
      <w:lvlText w:val="%2)"/>
      <w:lvlJc w:val="left"/>
      <w:pPr>
        <w:ind w:left="2940" w:hanging="420"/>
      </w:pPr>
    </w:lvl>
    <w:lvl w:ilvl="2" w:tentative="0">
      <w:start w:val="1"/>
      <w:numFmt w:val="lowerRoman"/>
      <w:lvlText w:val="%3."/>
      <w:lvlJc w:val="right"/>
      <w:pPr>
        <w:ind w:left="3360" w:hanging="420"/>
      </w:pPr>
    </w:lvl>
    <w:lvl w:ilvl="3" w:tentative="0">
      <w:start w:val="1"/>
      <w:numFmt w:val="decimal"/>
      <w:lvlText w:val="%4."/>
      <w:lvlJc w:val="left"/>
      <w:pPr>
        <w:ind w:left="3780" w:hanging="420"/>
      </w:pPr>
    </w:lvl>
    <w:lvl w:ilvl="4" w:tentative="0">
      <w:start w:val="1"/>
      <w:numFmt w:val="lowerLetter"/>
      <w:lvlText w:val="%5)"/>
      <w:lvlJc w:val="left"/>
      <w:pPr>
        <w:ind w:left="4200" w:hanging="420"/>
      </w:pPr>
    </w:lvl>
    <w:lvl w:ilvl="5" w:tentative="0">
      <w:start w:val="1"/>
      <w:numFmt w:val="lowerRoman"/>
      <w:lvlText w:val="%6."/>
      <w:lvlJc w:val="right"/>
      <w:pPr>
        <w:ind w:left="4620" w:hanging="420"/>
      </w:pPr>
    </w:lvl>
    <w:lvl w:ilvl="6" w:tentative="0">
      <w:start w:val="1"/>
      <w:numFmt w:val="decimal"/>
      <w:lvlText w:val="%7."/>
      <w:lvlJc w:val="left"/>
      <w:pPr>
        <w:ind w:left="5040" w:hanging="420"/>
      </w:pPr>
    </w:lvl>
    <w:lvl w:ilvl="7" w:tentative="0">
      <w:start w:val="1"/>
      <w:numFmt w:val="lowerLetter"/>
      <w:lvlText w:val="%8)"/>
      <w:lvlJc w:val="left"/>
      <w:pPr>
        <w:ind w:left="5460" w:hanging="420"/>
      </w:pPr>
    </w:lvl>
    <w:lvl w:ilvl="8" w:tentative="0">
      <w:start w:val="1"/>
      <w:numFmt w:val="lowerRoman"/>
      <w:lvlText w:val="%9."/>
      <w:lvlJc w:val="right"/>
      <w:pPr>
        <w:ind w:left="5880" w:hanging="420"/>
      </w:pPr>
    </w:lvl>
  </w:abstractNum>
  <w:abstractNum w:abstractNumId="3">
    <w:nsid w:val="1DBF583A"/>
    <w:multiLevelType w:val="multilevel"/>
    <w:tmpl w:val="1DBF583A"/>
    <w:lvl w:ilvl="0" w:tentative="0">
      <w:start w:val="1"/>
      <w:numFmt w:val="decimal"/>
      <w:pStyle w:val="72"/>
      <w:suff w:val="nothing"/>
      <w:lvlText w:val="注%1："/>
      <w:lvlJc w:val="left"/>
      <w:pPr>
        <w:ind w:left="811" w:hanging="448"/>
      </w:pPr>
      <w:rPr>
        <w:rFonts w:hint="eastAsia" w:ascii="黑体" w:eastAsia="黑体"/>
        <w:b w:val="0"/>
        <w:i w:val="0"/>
        <w:sz w:val="18"/>
        <w:szCs w:val="18"/>
        <w:vertAlign w:val="baseline"/>
        <w:lang w:val="en-US"/>
      </w:rPr>
    </w:lvl>
    <w:lvl w:ilvl="1" w:tentative="0">
      <w:start w:val="1"/>
      <w:numFmt w:val="lowerLetter"/>
      <w:lvlText w:val="%2)"/>
      <w:lvlJc w:val="left"/>
      <w:pPr>
        <w:tabs>
          <w:tab w:val="left" w:pos="181"/>
        </w:tabs>
        <w:ind w:left="1174" w:hanging="630"/>
      </w:pPr>
      <w:rPr>
        <w:rFonts w:hint="eastAsia"/>
        <w:vertAlign w:val="baseline"/>
      </w:rPr>
    </w:lvl>
    <w:lvl w:ilvl="2" w:tentative="0">
      <w:start w:val="1"/>
      <w:numFmt w:val="lowerRoman"/>
      <w:lvlText w:val="%3."/>
      <w:lvlJc w:val="right"/>
      <w:pPr>
        <w:tabs>
          <w:tab w:val="left" w:pos="181"/>
        </w:tabs>
        <w:ind w:left="1174" w:hanging="630"/>
      </w:pPr>
      <w:rPr>
        <w:rFonts w:hint="eastAsia"/>
        <w:vertAlign w:val="baseline"/>
      </w:rPr>
    </w:lvl>
    <w:lvl w:ilvl="3" w:tentative="0">
      <w:start w:val="1"/>
      <w:numFmt w:val="decimal"/>
      <w:lvlText w:val="%4."/>
      <w:lvlJc w:val="left"/>
      <w:pPr>
        <w:tabs>
          <w:tab w:val="left" w:pos="181"/>
        </w:tabs>
        <w:ind w:left="1174" w:hanging="630"/>
      </w:pPr>
      <w:rPr>
        <w:rFonts w:hint="eastAsia"/>
        <w:vertAlign w:val="baseline"/>
      </w:rPr>
    </w:lvl>
    <w:lvl w:ilvl="4" w:tentative="0">
      <w:start w:val="1"/>
      <w:numFmt w:val="lowerLetter"/>
      <w:lvlText w:val="%5)"/>
      <w:lvlJc w:val="left"/>
      <w:pPr>
        <w:tabs>
          <w:tab w:val="left" w:pos="181"/>
        </w:tabs>
        <w:ind w:left="1174" w:hanging="630"/>
      </w:pPr>
      <w:rPr>
        <w:rFonts w:hint="eastAsia"/>
        <w:vertAlign w:val="baseline"/>
      </w:rPr>
    </w:lvl>
    <w:lvl w:ilvl="5" w:tentative="0">
      <w:start w:val="1"/>
      <w:numFmt w:val="lowerRoman"/>
      <w:lvlText w:val="%6."/>
      <w:lvlJc w:val="right"/>
      <w:pPr>
        <w:tabs>
          <w:tab w:val="left" w:pos="181"/>
        </w:tabs>
        <w:ind w:left="1174" w:hanging="630"/>
      </w:pPr>
      <w:rPr>
        <w:rFonts w:hint="eastAsia"/>
        <w:vertAlign w:val="baseline"/>
      </w:rPr>
    </w:lvl>
    <w:lvl w:ilvl="6" w:tentative="0">
      <w:start w:val="1"/>
      <w:numFmt w:val="decimal"/>
      <w:lvlText w:val="%7."/>
      <w:lvlJc w:val="left"/>
      <w:pPr>
        <w:tabs>
          <w:tab w:val="left" w:pos="181"/>
        </w:tabs>
        <w:ind w:left="1174" w:hanging="630"/>
      </w:pPr>
      <w:rPr>
        <w:rFonts w:hint="eastAsia"/>
        <w:vertAlign w:val="baseline"/>
      </w:rPr>
    </w:lvl>
    <w:lvl w:ilvl="7" w:tentative="0">
      <w:start w:val="1"/>
      <w:numFmt w:val="lowerLetter"/>
      <w:lvlText w:val="%8)"/>
      <w:lvlJc w:val="left"/>
      <w:pPr>
        <w:tabs>
          <w:tab w:val="left" w:pos="181"/>
        </w:tabs>
        <w:ind w:left="1174" w:hanging="630"/>
      </w:pPr>
      <w:rPr>
        <w:rFonts w:hint="eastAsia"/>
        <w:vertAlign w:val="baseline"/>
      </w:rPr>
    </w:lvl>
    <w:lvl w:ilvl="8" w:tentative="0">
      <w:start w:val="1"/>
      <w:numFmt w:val="lowerRoman"/>
      <w:lvlText w:val="%9."/>
      <w:lvlJc w:val="right"/>
      <w:pPr>
        <w:tabs>
          <w:tab w:val="left" w:pos="181"/>
        </w:tabs>
        <w:ind w:left="1174" w:hanging="630"/>
      </w:pPr>
      <w:rPr>
        <w:rFonts w:hint="eastAsia"/>
        <w:vertAlign w:val="baseline"/>
      </w:rPr>
    </w:lvl>
  </w:abstractNum>
  <w:abstractNum w:abstractNumId="4">
    <w:nsid w:val="1FC91163"/>
    <w:multiLevelType w:val="multilevel"/>
    <w:tmpl w:val="1FC91163"/>
    <w:lvl w:ilvl="0" w:tentative="0">
      <w:start w:val="1"/>
      <w:numFmt w:val="decimal"/>
      <w:pStyle w:val="52"/>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49"/>
      <w:suff w:val="nothing"/>
      <w:lvlText w:val="%1.%2　"/>
      <w:lvlJc w:val="left"/>
      <w:pPr>
        <w:ind w:left="850"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pStyle w:val="53"/>
      <w:suff w:val="nothing"/>
      <w:lvlText w:val="%1.%2.%3　"/>
      <w:lvlJc w:val="left"/>
      <w:pPr>
        <w:ind w:left="709" w:firstLine="0"/>
      </w:pPr>
      <w:rPr>
        <w:rFonts w:hint="eastAsia" w:ascii="黑体" w:hAnsi="Times New Roman" w:eastAsia="黑体"/>
        <w:b w:val="0"/>
        <w:i w:val="0"/>
        <w:color w:val="auto"/>
        <w:sz w:val="21"/>
        <w:lang w:val="fr-FR"/>
      </w:rPr>
    </w:lvl>
    <w:lvl w:ilvl="3" w:tentative="0">
      <w:start w:val="1"/>
      <w:numFmt w:val="decimal"/>
      <w:pStyle w:val="58"/>
      <w:suff w:val="nothing"/>
      <w:lvlText w:val="%1.%2.%3.%4　"/>
      <w:lvlJc w:val="left"/>
      <w:pPr>
        <w:ind w:left="0" w:firstLine="0"/>
      </w:pPr>
      <w:rPr>
        <w:rFonts w:hint="eastAsia" w:ascii="黑体" w:hAnsi="Times New Roman" w:eastAsia="黑体"/>
        <w:b w:val="0"/>
        <w:i w:val="0"/>
        <w:sz w:val="21"/>
      </w:rPr>
    </w:lvl>
    <w:lvl w:ilvl="4" w:tentative="0">
      <w:start w:val="1"/>
      <w:numFmt w:val="decimal"/>
      <w:pStyle w:val="62"/>
      <w:suff w:val="nothing"/>
      <w:lvlText w:val="%1.%2.%3.%4.%5　"/>
      <w:lvlJc w:val="left"/>
      <w:pPr>
        <w:ind w:left="0" w:firstLine="0"/>
      </w:pPr>
      <w:rPr>
        <w:rFonts w:hint="eastAsia" w:ascii="黑体" w:hAnsi="Times New Roman" w:eastAsia="黑体"/>
        <w:b w:val="0"/>
        <w:i w:val="0"/>
        <w:sz w:val="21"/>
      </w:rPr>
    </w:lvl>
    <w:lvl w:ilvl="5" w:tentative="0">
      <w:start w:val="1"/>
      <w:numFmt w:val="decimal"/>
      <w:pStyle w:val="63"/>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5">
    <w:nsid w:val="2A8F7113"/>
    <w:multiLevelType w:val="multilevel"/>
    <w:tmpl w:val="2A8F7113"/>
    <w:lvl w:ilvl="0" w:tentative="0">
      <w:start w:val="1"/>
      <w:numFmt w:val="upperLetter"/>
      <w:pStyle w:val="105"/>
      <w:suff w:val="space"/>
      <w:lvlText w:val="%1"/>
      <w:lvlJc w:val="left"/>
      <w:pPr>
        <w:ind w:left="623" w:hanging="425"/>
      </w:pPr>
      <w:rPr>
        <w:rFonts w:hint="eastAsia"/>
      </w:rPr>
    </w:lvl>
    <w:lvl w:ilvl="1" w:tentative="0">
      <w:start w:val="1"/>
      <w:numFmt w:val="decimal"/>
      <w:pStyle w:val="106"/>
      <w:suff w:val="nothing"/>
      <w:lvlText w:val="图%1.%2　"/>
      <w:lvlJc w:val="left"/>
      <w:pPr>
        <w:ind w:left="6447"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6">
    <w:nsid w:val="2C5917C3"/>
    <w:multiLevelType w:val="multilevel"/>
    <w:tmpl w:val="2C5917C3"/>
    <w:lvl w:ilvl="0" w:tentative="0">
      <w:start w:val="1"/>
      <w:numFmt w:val="none"/>
      <w:pStyle w:val="55"/>
      <w:suff w:val="nothing"/>
      <w:lvlText w:val="%1——"/>
      <w:lvlJc w:val="left"/>
      <w:pPr>
        <w:ind w:left="833" w:hanging="408"/>
      </w:pPr>
      <w:rPr>
        <w:rFonts w:hint="eastAsia"/>
      </w:rPr>
    </w:lvl>
    <w:lvl w:ilvl="1" w:tentative="0">
      <w:start w:val="1"/>
      <w:numFmt w:val="bullet"/>
      <w:pStyle w:val="56"/>
      <w:lvlText w:val=""/>
      <w:lvlJc w:val="left"/>
      <w:pPr>
        <w:tabs>
          <w:tab w:val="left" w:pos="760"/>
        </w:tabs>
        <w:ind w:left="1264" w:hanging="413"/>
      </w:pPr>
      <w:rPr>
        <w:rFonts w:hint="default" w:ascii="Symbol" w:hAnsi="Symbol"/>
        <w:color w:val="auto"/>
      </w:rPr>
    </w:lvl>
    <w:lvl w:ilvl="2" w:tentative="0">
      <w:start w:val="1"/>
      <w:numFmt w:val="bullet"/>
      <w:pStyle w:val="67"/>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7">
    <w:nsid w:val="374A0254"/>
    <w:multiLevelType w:val="multilevel"/>
    <w:tmpl w:val="374A0254"/>
    <w:lvl w:ilvl="0" w:tentative="0">
      <w:start w:val="1"/>
      <w:numFmt w:val="lowerLetter"/>
      <w:lvlText w:val="%1)"/>
      <w:lvlJc w:val="left"/>
      <w:pPr>
        <w:ind w:left="2520" w:hanging="420"/>
      </w:pPr>
    </w:lvl>
    <w:lvl w:ilvl="1" w:tentative="0">
      <w:start w:val="1"/>
      <w:numFmt w:val="lowerLetter"/>
      <w:lvlText w:val="%2)"/>
      <w:lvlJc w:val="left"/>
      <w:pPr>
        <w:ind w:left="2940" w:hanging="420"/>
      </w:pPr>
    </w:lvl>
    <w:lvl w:ilvl="2" w:tentative="0">
      <w:start w:val="1"/>
      <w:numFmt w:val="lowerRoman"/>
      <w:lvlText w:val="%3."/>
      <w:lvlJc w:val="right"/>
      <w:pPr>
        <w:ind w:left="3360" w:hanging="420"/>
      </w:pPr>
    </w:lvl>
    <w:lvl w:ilvl="3" w:tentative="0">
      <w:start w:val="1"/>
      <w:numFmt w:val="decimal"/>
      <w:lvlText w:val="%4."/>
      <w:lvlJc w:val="left"/>
      <w:pPr>
        <w:ind w:left="3780" w:hanging="420"/>
      </w:pPr>
    </w:lvl>
    <w:lvl w:ilvl="4" w:tentative="0">
      <w:start w:val="1"/>
      <w:numFmt w:val="lowerLetter"/>
      <w:lvlText w:val="%5)"/>
      <w:lvlJc w:val="left"/>
      <w:pPr>
        <w:ind w:left="4200" w:hanging="420"/>
      </w:pPr>
    </w:lvl>
    <w:lvl w:ilvl="5" w:tentative="0">
      <w:start w:val="1"/>
      <w:numFmt w:val="lowerRoman"/>
      <w:lvlText w:val="%6."/>
      <w:lvlJc w:val="right"/>
      <w:pPr>
        <w:ind w:left="4620" w:hanging="420"/>
      </w:pPr>
    </w:lvl>
    <w:lvl w:ilvl="6" w:tentative="0">
      <w:start w:val="1"/>
      <w:numFmt w:val="decimal"/>
      <w:lvlText w:val="%7."/>
      <w:lvlJc w:val="left"/>
      <w:pPr>
        <w:ind w:left="5040" w:hanging="420"/>
      </w:pPr>
    </w:lvl>
    <w:lvl w:ilvl="7" w:tentative="0">
      <w:start w:val="1"/>
      <w:numFmt w:val="lowerLetter"/>
      <w:lvlText w:val="%8)"/>
      <w:lvlJc w:val="left"/>
      <w:pPr>
        <w:ind w:left="5460" w:hanging="420"/>
      </w:pPr>
    </w:lvl>
    <w:lvl w:ilvl="8" w:tentative="0">
      <w:start w:val="1"/>
      <w:numFmt w:val="lowerRoman"/>
      <w:lvlText w:val="%9."/>
      <w:lvlJc w:val="right"/>
      <w:pPr>
        <w:ind w:left="5880" w:hanging="420"/>
      </w:pPr>
    </w:lvl>
  </w:abstractNum>
  <w:abstractNum w:abstractNumId="8">
    <w:nsid w:val="3D733618"/>
    <w:multiLevelType w:val="multilevel"/>
    <w:tmpl w:val="3D733618"/>
    <w:lvl w:ilvl="0" w:tentative="0">
      <w:start w:val="1"/>
      <w:numFmt w:val="decimal"/>
      <w:pStyle w:val="26"/>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9">
    <w:nsid w:val="44C50F90"/>
    <w:multiLevelType w:val="multilevel"/>
    <w:tmpl w:val="44C50F90"/>
    <w:lvl w:ilvl="0" w:tentative="0">
      <w:start w:val="1"/>
      <w:numFmt w:val="lowerLetter"/>
      <w:pStyle w:val="66"/>
      <w:lvlText w:val="%1)"/>
      <w:lvlJc w:val="left"/>
      <w:pPr>
        <w:tabs>
          <w:tab w:val="left" w:pos="839"/>
        </w:tabs>
        <w:ind w:left="839" w:hanging="419"/>
      </w:pPr>
      <w:rPr>
        <w:rFonts w:hint="eastAsia" w:ascii="宋体" w:hAnsi="宋体" w:eastAsia="宋体"/>
        <w:b w:val="0"/>
        <w:i w:val="0"/>
        <w:sz w:val="20"/>
        <w:szCs w:val="21"/>
      </w:rPr>
    </w:lvl>
    <w:lvl w:ilvl="1" w:tentative="0">
      <w:start w:val="1"/>
      <w:numFmt w:val="decimal"/>
      <w:pStyle w:val="61"/>
      <w:lvlText w:val="%2)"/>
      <w:lvlJc w:val="left"/>
      <w:pPr>
        <w:tabs>
          <w:tab w:val="left" w:pos="1259"/>
        </w:tabs>
        <w:ind w:left="1259" w:hanging="420"/>
      </w:pPr>
      <w:rPr>
        <w:rFonts w:hint="eastAsia" w:ascii="宋体" w:hAnsi="宋体" w:eastAsia="宋体" w:cs="Times New Roman"/>
        <w:b w:val="0"/>
        <w:bCs w:val="0"/>
        <w:i w:val="0"/>
        <w:iCs w:val="0"/>
        <w:caps w:val="0"/>
        <w:strike w:val="0"/>
        <w:dstrike w:val="0"/>
        <w:vanish w:val="0"/>
        <w:color w:val="000000"/>
        <w:spacing w:val="0"/>
        <w:kern w:val="0"/>
        <w:position w:val="0"/>
        <w:sz w:val="20"/>
        <w:szCs w:val="21"/>
        <w:u w:val="none"/>
        <w:vertAlign w:val="baseline"/>
      </w:rPr>
    </w:lvl>
    <w:lvl w:ilvl="2" w:tentative="0">
      <w:start w:val="1"/>
      <w:numFmt w:val="decimal"/>
      <w:pStyle w:val="68"/>
      <w:lvlText w:val="(%3)"/>
      <w:lvlJc w:val="left"/>
      <w:pPr>
        <w:tabs>
          <w:tab w:val="left" w:pos="0"/>
        </w:tabs>
        <w:ind w:left="1678" w:hanging="419"/>
      </w:pPr>
      <w:rPr>
        <w:rFonts w:hint="eastAsia" w:ascii="宋体" w:hAnsi="宋体" w:eastAsia="宋体"/>
        <w:b w:val="0"/>
        <w:i w:val="0"/>
        <w:sz w:val="20"/>
        <w:szCs w:val="21"/>
      </w:rPr>
    </w:lvl>
    <w:lvl w:ilvl="3" w:tentative="0">
      <w:start w:val="1"/>
      <w:numFmt w:val="decimal"/>
      <w:lvlText w:val="%4."/>
      <w:lvlJc w:val="left"/>
      <w:pPr>
        <w:tabs>
          <w:tab w:val="left" w:pos="2098"/>
        </w:tabs>
        <w:ind w:left="2098" w:hanging="420"/>
      </w:pPr>
      <w:rPr>
        <w:rFonts w:hint="eastAsia" w:ascii="黑体" w:hAnsi="Times New Roman" w:eastAsia="黑体"/>
        <w:b w:val="0"/>
        <w:i w:val="0"/>
        <w:sz w:val="21"/>
      </w:rPr>
    </w:lvl>
    <w:lvl w:ilvl="4" w:tentative="0">
      <w:start w:val="1"/>
      <w:numFmt w:val="lowerLetter"/>
      <w:lvlText w:val="%5)"/>
      <w:lvlJc w:val="left"/>
      <w:pPr>
        <w:tabs>
          <w:tab w:val="left" w:pos="2517"/>
        </w:tabs>
        <w:ind w:left="2517" w:hanging="419"/>
      </w:pPr>
      <w:rPr>
        <w:rFonts w:hint="eastAsia" w:ascii="黑体" w:hAnsi="Times New Roman" w:eastAsia="黑体"/>
        <w:b w:val="0"/>
        <w:i w:val="0"/>
        <w:sz w:val="21"/>
      </w:rPr>
    </w:lvl>
    <w:lvl w:ilvl="5" w:tentative="0">
      <w:start w:val="1"/>
      <w:numFmt w:val="lowerRoman"/>
      <w:lvlText w:val="%6."/>
      <w:lvlJc w:val="right"/>
      <w:pPr>
        <w:tabs>
          <w:tab w:val="left" w:pos="2942"/>
        </w:tabs>
        <w:ind w:left="2937" w:hanging="420"/>
      </w:pPr>
      <w:rPr>
        <w:rFonts w:hint="eastAsia" w:ascii="黑体" w:hAnsi="Times New Roman" w:eastAsia="黑体"/>
        <w:b w:val="0"/>
        <w:i w:val="0"/>
        <w:sz w:val="21"/>
      </w:rPr>
    </w:lvl>
    <w:lvl w:ilvl="6" w:tentative="0">
      <w:start w:val="1"/>
      <w:numFmt w:val="decimal"/>
      <w:lvlText w:val="%7."/>
      <w:lvlJc w:val="left"/>
      <w:pPr>
        <w:tabs>
          <w:tab w:val="left" w:pos="3362"/>
        </w:tabs>
        <w:ind w:left="3356" w:hanging="414"/>
      </w:pPr>
      <w:rPr>
        <w:rFonts w:hint="eastAsia" w:ascii="黑体" w:hAnsi="Times New Roman" w:eastAsia="黑体"/>
        <w:b w:val="0"/>
        <w:i w:val="0"/>
        <w:sz w:val="21"/>
      </w:rPr>
    </w:lvl>
    <w:lvl w:ilvl="7" w:tentative="0">
      <w:start w:val="1"/>
      <w:numFmt w:val="lowerLetter"/>
      <w:lvlText w:val="%8)"/>
      <w:lvlJc w:val="left"/>
      <w:pPr>
        <w:tabs>
          <w:tab w:val="left" w:pos="3781"/>
        </w:tabs>
        <w:ind w:left="3776" w:hanging="414"/>
      </w:pPr>
      <w:rPr>
        <w:rFonts w:hint="eastAsia"/>
      </w:rPr>
    </w:lvl>
    <w:lvl w:ilvl="8" w:tentative="0">
      <w:start w:val="1"/>
      <w:numFmt w:val="lowerRoman"/>
      <w:lvlText w:val="%9."/>
      <w:lvlJc w:val="right"/>
      <w:pPr>
        <w:tabs>
          <w:tab w:val="left" w:pos="4201"/>
        </w:tabs>
        <w:ind w:left="4201" w:hanging="420"/>
      </w:pPr>
      <w:rPr>
        <w:rFonts w:hint="eastAsia"/>
      </w:rPr>
    </w:lvl>
  </w:abstractNum>
  <w:abstractNum w:abstractNumId="10">
    <w:nsid w:val="60B55DC2"/>
    <w:multiLevelType w:val="multilevel"/>
    <w:tmpl w:val="60B55DC2"/>
    <w:lvl w:ilvl="0" w:tentative="0">
      <w:start w:val="1"/>
      <w:numFmt w:val="upperLetter"/>
      <w:pStyle w:val="93"/>
      <w:lvlText w:val="%1"/>
      <w:lvlJc w:val="left"/>
      <w:pPr>
        <w:tabs>
          <w:tab w:val="left" w:pos="0"/>
        </w:tabs>
        <w:ind w:left="0" w:hanging="425"/>
      </w:pPr>
      <w:rPr>
        <w:rFonts w:hint="eastAsia"/>
      </w:rPr>
    </w:lvl>
    <w:lvl w:ilvl="1" w:tentative="0">
      <w:start w:val="1"/>
      <w:numFmt w:val="decimal"/>
      <w:pStyle w:val="94"/>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1">
    <w:nsid w:val="657D3FBC"/>
    <w:multiLevelType w:val="multilevel"/>
    <w:tmpl w:val="657D3FBC"/>
    <w:lvl w:ilvl="0" w:tentative="0">
      <w:start w:val="1"/>
      <w:numFmt w:val="upperLetter"/>
      <w:pStyle w:val="91"/>
      <w:suff w:val="nothing"/>
      <w:lvlText w:val="附　录　%1"/>
      <w:lvlJc w:val="left"/>
      <w:pPr>
        <w:ind w:left="0" w:firstLine="0"/>
      </w:pPr>
      <w:rPr>
        <w:rFonts w:hint="eastAsia" w:ascii="黑体" w:hAnsi="Times New Roman" w:eastAsia="黑体"/>
        <w:b w:val="0"/>
        <w:i w:val="0"/>
        <w:spacing w:val="0"/>
        <w:w w:val="100"/>
        <w:sz w:val="21"/>
        <w:lang w:val="en-US"/>
      </w:rPr>
    </w:lvl>
    <w:lvl w:ilvl="1" w:tentative="0">
      <w:start w:val="1"/>
      <w:numFmt w:val="decimal"/>
      <w:pStyle w:val="109"/>
      <w:suff w:val="nothing"/>
      <w:lvlText w:val="%1.%2　"/>
      <w:lvlJc w:val="left"/>
      <w:pPr>
        <w:ind w:left="2694" w:firstLine="0"/>
      </w:pPr>
      <w:rPr>
        <w:rFonts w:hint="eastAsia" w:ascii="黑体" w:hAnsi="Times New Roman" w:eastAsia="黑体"/>
        <w:b w:val="0"/>
        <w:i w:val="0"/>
        <w:snapToGrid/>
        <w:spacing w:val="0"/>
        <w:w w:val="100"/>
        <w:kern w:val="21"/>
        <w:sz w:val="21"/>
      </w:rPr>
    </w:lvl>
    <w:lvl w:ilvl="2" w:tentative="0">
      <w:start w:val="1"/>
      <w:numFmt w:val="decimal"/>
      <w:pStyle w:val="110"/>
      <w:suff w:val="nothing"/>
      <w:lvlText w:val="%1.%2.%3　"/>
      <w:lvlJc w:val="left"/>
      <w:pPr>
        <w:ind w:left="0" w:firstLine="0"/>
      </w:pPr>
      <w:rPr>
        <w:rFonts w:hint="eastAsia" w:ascii="黑体" w:hAnsi="Times New Roman" w:eastAsia="黑体"/>
        <w:b w:val="0"/>
        <w:i w:val="0"/>
        <w:sz w:val="21"/>
      </w:rPr>
    </w:lvl>
    <w:lvl w:ilvl="3" w:tentative="0">
      <w:start w:val="1"/>
      <w:numFmt w:val="decimal"/>
      <w:pStyle w:val="95"/>
      <w:suff w:val="nothing"/>
      <w:lvlText w:val="%1.%2.%3.%4　"/>
      <w:lvlJc w:val="left"/>
      <w:pPr>
        <w:ind w:left="0" w:firstLine="0"/>
      </w:pPr>
      <w:rPr>
        <w:rFonts w:hint="eastAsia" w:ascii="黑体" w:hAnsi="Times New Roman" w:eastAsia="黑体"/>
        <w:b w:val="0"/>
        <w:i w:val="0"/>
        <w:sz w:val="21"/>
      </w:rPr>
    </w:lvl>
    <w:lvl w:ilvl="4" w:tentative="0">
      <w:start w:val="1"/>
      <w:numFmt w:val="decimal"/>
      <w:pStyle w:val="100"/>
      <w:suff w:val="nothing"/>
      <w:lvlText w:val="%1.%2.%3.%4.%5　"/>
      <w:lvlJc w:val="left"/>
      <w:pPr>
        <w:ind w:left="0" w:firstLine="0"/>
      </w:pPr>
      <w:rPr>
        <w:rFonts w:hint="eastAsia" w:ascii="黑体" w:hAnsi="Times New Roman" w:eastAsia="黑体"/>
        <w:b w:val="0"/>
        <w:i w:val="0"/>
        <w:sz w:val="21"/>
      </w:rPr>
    </w:lvl>
    <w:lvl w:ilvl="5" w:tentative="0">
      <w:start w:val="1"/>
      <w:numFmt w:val="decimal"/>
      <w:pStyle w:val="103"/>
      <w:suff w:val="nothing"/>
      <w:lvlText w:val="%1.%2.%3.%4.%5.%6　"/>
      <w:lvlJc w:val="left"/>
      <w:pPr>
        <w:ind w:left="0" w:firstLine="0"/>
      </w:pPr>
      <w:rPr>
        <w:rFonts w:hint="eastAsia" w:ascii="黑体" w:hAnsi="Times New Roman" w:eastAsia="黑体"/>
        <w:b w:val="0"/>
        <w:i w:val="0"/>
        <w:sz w:val="21"/>
      </w:rPr>
    </w:lvl>
    <w:lvl w:ilvl="6" w:tentative="0">
      <w:start w:val="1"/>
      <w:numFmt w:val="decimal"/>
      <w:pStyle w:val="107"/>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2">
    <w:nsid w:val="6D6C07CD"/>
    <w:multiLevelType w:val="multilevel"/>
    <w:tmpl w:val="6D6C07CD"/>
    <w:lvl w:ilvl="0" w:tentative="0">
      <w:start w:val="1"/>
      <w:numFmt w:val="lowerLetter"/>
      <w:pStyle w:val="112"/>
      <w:lvlText w:val="%1)"/>
      <w:lvlJc w:val="left"/>
      <w:pPr>
        <w:tabs>
          <w:tab w:val="left" w:pos="839"/>
        </w:tabs>
        <w:ind w:left="839" w:hanging="419"/>
      </w:pPr>
      <w:rPr>
        <w:rFonts w:hint="eastAsia" w:ascii="宋体" w:eastAsia="宋体"/>
        <w:b w:val="0"/>
        <w:i w:val="0"/>
        <w:sz w:val="21"/>
      </w:rPr>
    </w:lvl>
    <w:lvl w:ilvl="1" w:tentative="0">
      <w:start w:val="1"/>
      <w:numFmt w:val="decimal"/>
      <w:pStyle w:val="102"/>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num w:numId="1">
    <w:abstractNumId w:val="8"/>
  </w:num>
  <w:num w:numId="2">
    <w:abstractNumId w:val="4"/>
  </w:num>
  <w:num w:numId="3">
    <w:abstractNumId w:val="6"/>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3"/>
  </w:num>
  <w:num w:numId="7">
    <w:abstractNumId w:val="11"/>
  </w:num>
  <w:num w:numId="8">
    <w:abstractNumId w:val="10"/>
  </w:num>
  <w:num w:numId="9">
    <w:abstractNumId w:val="12"/>
  </w:num>
  <w:num w:numId="10">
    <w:abstractNumId w:val="5"/>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0"/>
  </w:num>
  <w:num w:numId="18">
    <w:abstractNumId w:val="7"/>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864EB"/>
    <w:rsid w:val="00011073"/>
    <w:rsid w:val="00020446"/>
    <w:rsid w:val="00025ED6"/>
    <w:rsid w:val="00050EE5"/>
    <w:rsid w:val="00055A7C"/>
    <w:rsid w:val="00067E18"/>
    <w:rsid w:val="00070807"/>
    <w:rsid w:val="00072564"/>
    <w:rsid w:val="000730C5"/>
    <w:rsid w:val="000A3C5E"/>
    <w:rsid w:val="000A5D1B"/>
    <w:rsid w:val="000B232E"/>
    <w:rsid w:val="000B2395"/>
    <w:rsid w:val="000B32CD"/>
    <w:rsid w:val="000C6438"/>
    <w:rsid w:val="000D536C"/>
    <w:rsid w:val="000E7A7E"/>
    <w:rsid w:val="000F25DE"/>
    <w:rsid w:val="0010500D"/>
    <w:rsid w:val="00105159"/>
    <w:rsid w:val="00106FAD"/>
    <w:rsid w:val="0013087D"/>
    <w:rsid w:val="00130886"/>
    <w:rsid w:val="00135055"/>
    <w:rsid w:val="00137605"/>
    <w:rsid w:val="001439B4"/>
    <w:rsid w:val="0014641C"/>
    <w:rsid w:val="00150C78"/>
    <w:rsid w:val="001865F6"/>
    <w:rsid w:val="00187794"/>
    <w:rsid w:val="0019206B"/>
    <w:rsid w:val="001A2055"/>
    <w:rsid w:val="001C349F"/>
    <w:rsid w:val="001C4ADC"/>
    <w:rsid w:val="001D5E78"/>
    <w:rsid w:val="001E1F99"/>
    <w:rsid w:val="0020061D"/>
    <w:rsid w:val="00205F72"/>
    <w:rsid w:val="00230BDC"/>
    <w:rsid w:val="00230F8F"/>
    <w:rsid w:val="00241C26"/>
    <w:rsid w:val="002448E4"/>
    <w:rsid w:val="00261CDC"/>
    <w:rsid w:val="00262043"/>
    <w:rsid w:val="002814FA"/>
    <w:rsid w:val="002B4466"/>
    <w:rsid w:val="002C6343"/>
    <w:rsid w:val="00310867"/>
    <w:rsid w:val="00326A91"/>
    <w:rsid w:val="003274C1"/>
    <w:rsid w:val="00327DEF"/>
    <w:rsid w:val="003671A5"/>
    <w:rsid w:val="003679A8"/>
    <w:rsid w:val="00381262"/>
    <w:rsid w:val="00383232"/>
    <w:rsid w:val="0039038D"/>
    <w:rsid w:val="0039670B"/>
    <w:rsid w:val="003A1F28"/>
    <w:rsid w:val="003A5E97"/>
    <w:rsid w:val="003A7819"/>
    <w:rsid w:val="003B2BFA"/>
    <w:rsid w:val="003B315B"/>
    <w:rsid w:val="003B3F9F"/>
    <w:rsid w:val="003B6152"/>
    <w:rsid w:val="003E4289"/>
    <w:rsid w:val="003E7B96"/>
    <w:rsid w:val="003F22F7"/>
    <w:rsid w:val="00404A97"/>
    <w:rsid w:val="0042290A"/>
    <w:rsid w:val="00427000"/>
    <w:rsid w:val="00431797"/>
    <w:rsid w:val="004324C8"/>
    <w:rsid w:val="00437B28"/>
    <w:rsid w:val="004421A6"/>
    <w:rsid w:val="0047236B"/>
    <w:rsid w:val="00475E6E"/>
    <w:rsid w:val="00480ABA"/>
    <w:rsid w:val="004872F3"/>
    <w:rsid w:val="004A60C5"/>
    <w:rsid w:val="004B30B2"/>
    <w:rsid w:val="004D392E"/>
    <w:rsid w:val="004E67B1"/>
    <w:rsid w:val="004F64BB"/>
    <w:rsid w:val="004F7C2D"/>
    <w:rsid w:val="00503420"/>
    <w:rsid w:val="005034FD"/>
    <w:rsid w:val="00505CAE"/>
    <w:rsid w:val="00510C77"/>
    <w:rsid w:val="00522D6F"/>
    <w:rsid w:val="00524116"/>
    <w:rsid w:val="00524980"/>
    <w:rsid w:val="00526F54"/>
    <w:rsid w:val="0053651C"/>
    <w:rsid w:val="005375FE"/>
    <w:rsid w:val="00544B67"/>
    <w:rsid w:val="00545370"/>
    <w:rsid w:val="0055402C"/>
    <w:rsid w:val="005557F8"/>
    <w:rsid w:val="00561646"/>
    <w:rsid w:val="00572B23"/>
    <w:rsid w:val="005C503D"/>
    <w:rsid w:val="005D327F"/>
    <w:rsid w:val="005E7B79"/>
    <w:rsid w:val="00601B2E"/>
    <w:rsid w:val="006069A9"/>
    <w:rsid w:val="00607294"/>
    <w:rsid w:val="00620E27"/>
    <w:rsid w:val="006268E8"/>
    <w:rsid w:val="00636A01"/>
    <w:rsid w:val="006432E0"/>
    <w:rsid w:val="0064384B"/>
    <w:rsid w:val="0064408E"/>
    <w:rsid w:val="006461C0"/>
    <w:rsid w:val="006548B7"/>
    <w:rsid w:val="00670A06"/>
    <w:rsid w:val="006819C6"/>
    <w:rsid w:val="00690548"/>
    <w:rsid w:val="00697AF6"/>
    <w:rsid w:val="006A11EB"/>
    <w:rsid w:val="006B5DDE"/>
    <w:rsid w:val="006C3EBF"/>
    <w:rsid w:val="006D401E"/>
    <w:rsid w:val="006D7D85"/>
    <w:rsid w:val="006E1C38"/>
    <w:rsid w:val="006F1EC3"/>
    <w:rsid w:val="00702069"/>
    <w:rsid w:val="00710718"/>
    <w:rsid w:val="00725023"/>
    <w:rsid w:val="00726263"/>
    <w:rsid w:val="00732970"/>
    <w:rsid w:val="00756D05"/>
    <w:rsid w:val="0076021B"/>
    <w:rsid w:val="00775AFD"/>
    <w:rsid w:val="00791AE9"/>
    <w:rsid w:val="00792780"/>
    <w:rsid w:val="00794F58"/>
    <w:rsid w:val="00795A99"/>
    <w:rsid w:val="0079682C"/>
    <w:rsid w:val="007C1FC6"/>
    <w:rsid w:val="007C46C1"/>
    <w:rsid w:val="007D181F"/>
    <w:rsid w:val="007D1F43"/>
    <w:rsid w:val="007F14E7"/>
    <w:rsid w:val="007F3333"/>
    <w:rsid w:val="00800B3C"/>
    <w:rsid w:val="0081007A"/>
    <w:rsid w:val="0081626C"/>
    <w:rsid w:val="00817236"/>
    <w:rsid w:val="00817442"/>
    <w:rsid w:val="00861FF0"/>
    <w:rsid w:val="008823AC"/>
    <w:rsid w:val="0088462A"/>
    <w:rsid w:val="008A6DF2"/>
    <w:rsid w:val="008B11AF"/>
    <w:rsid w:val="008B1ACA"/>
    <w:rsid w:val="008B513B"/>
    <w:rsid w:val="008D42CA"/>
    <w:rsid w:val="008D7D19"/>
    <w:rsid w:val="008F404C"/>
    <w:rsid w:val="008F40D6"/>
    <w:rsid w:val="008F4922"/>
    <w:rsid w:val="00901504"/>
    <w:rsid w:val="00926623"/>
    <w:rsid w:val="0092746D"/>
    <w:rsid w:val="009333EB"/>
    <w:rsid w:val="009573EA"/>
    <w:rsid w:val="00962BE1"/>
    <w:rsid w:val="009706F7"/>
    <w:rsid w:val="00981996"/>
    <w:rsid w:val="009A3260"/>
    <w:rsid w:val="009D0CBA"/>
    <w:rsid w:val="009D790B"/>
    <w:rsid w:val="009E20A7"/>
    <w:rsid w:val="009E7590"/>
    <w:rsid w:val="009F5752"/>
    <w:rsid w:val="009F5AA6"/>
    <w:rsid w:val="00A11B30"/>
    <w:rsid w:val="00A22D37"/>
    <w:rsid w:val="00A350BE"/>
    <w:rsid w:val="00A35EAF"/>
    <w:rsid w:val="00A73549"/>
    <w:rsid w:val="00A765F3"/>
    <w:rsid w:val="00A86745"/>
    <w:rsid w:val="00A95ED0"/>
    <w:rsid w:val="00AA0CE4"/>
    <w:rsid w:val="00AB2E86"/>
    <w:rsid w:val="00AB4950"/>
    <w:rsid w:val="00AD1313"/>
    <w:rsid w:val="00AD6C7D"/>
    <w:rsid w:val="00AE1122"/>
    <w:rsid w:val="00AE5CE2"/>
    <w:rsid w:val="00B04594"/>
    <w:rsid w:val="00B137A6"/>
    <w:rsid w:val="00B2489B"/>
    <w:rsid w:val="00B56A50"/>
    <w:rsid w:val="00B71891"/>
    <w:rsid w:val="00B774F6"/>
    <w:rsid w:val="00B855AF"/>
    <w:rsid w:val="00B9378A"/>
    <w:rsid w:val="00BA23DE"/>
    <w:rsid w:val="00BC3E6B"/>
    <w:rsid w:val="00BE724B"/>
    <w:rsid w:val="00BF6E88"/>
    <w:rsid w:val="00C0060D"/>
    <w:rsid w:val="00C009F5"/>
    <w:rsid w:val="00C12407"/>
    <w:rsid w:val="00C35FF8"/>
    <w:rsid w:val="00C4776E"/>
    <w:rsid w:val="00C50E06"/>
    <w:rsid w:val="00C540EE"/>
    <w:rsid w:val="00C6529B"/>
    <w:rsid w:val="00C657F7"/>
    <w:rsid w:val="00C72D1F"/>
    <w:rsid w:val="00C76A52"/>
    <w:rsid w:val="00C807E9"/>
    <w:rsid w:val="00C81FA3"/>
    <w:rsid w:val="00C91371"/>
    <w:rsid w:val="00C934EF"/>
    <w:rsid w:val="00CA4872"/>
    <w:rsid w:val="00CB4F91"/>
    <w:rsid w:val="00CB7A08"/>
    <w:rsid w:val="00CC778F"/>
    <w:rsid w:val="00CD2FEB"/>
    <w:rsid w:val="00CE445C"/>
    <w:rsid w:val="00CE4B35"/>
    <w:rsid w:val="00CE6146"/>
    <w:rsid w:val="00CF658A"/>
    <w:rsid w:val="00D0613E"/>
    <w:rsid w:val="00D10EDE"/>
    <w:rsid w:val="00D130FF"/>
    <w:rsid w:val="00D15A99"/>
    <w:rsid w:val="00D3453E"/>
    <w:rsid w:val="00D47E98"/>
    <w:rsid w:val="00D50784"/>
    <w:rsid w:val="00D56D8F"/>
    <w:rsid w:val="00D860A2"/>
    <w:rsid w:val="00D95F7E"/>
    <w:rsid w:val="00DB091D"/>
    <w:rsid w:val="00DB7BE9"/>
    <w:rsid w:val="00DC1751"/>
    <w:rsid w:val="00DC24B5"/>
    <w:rsid w:val="00DC45B2"/>
    <w:rsid w:val="00DD3E07"/>
    <w:rsid w:val="00DF0BEA"/>
    <w:rsid w:val="00DF5301"/>
    <w:rsid w:val="00E034BE"/>
    <w:rsid w:val="00E13D28"/>
    <w:rsid w:val="00E23D72"/>
    <w:rsid w:val="00E25E67"/>
    <w:rsid w:val="00E56D53"/>
    <w:rsid w:val="00E63082"/>
    <w:rsid w:val="00E84160"/>
    <w:rsid w:val="00E91004"/>
    <w:rsid w:val="00EB6042"/>
    <w:rsid w:val="00EC5B34"/>
    <w:rsid w:val="00F3219A"/>
    <w:rsid w:val="00F330FF"/>
    <w:rsid w:val="00F61722"/>
    <w:rsid w:val="00F71344"/>
    <w:rsid w:val="00F864EB"/>
    <w:rsid w:val="00F915AE"/>
    <w:rsid w:val="00F97430"/>
    <w:rsid w:val="00FA0448"/>
    <w:rsid w:val="00FA6C45"/>
    <w:rsid w:val="00FB3326"/>
    <w:rsid w:val="00FB3AB4"/>
    <w:rsid w:val="00FC4ADC"/>
    <w:rsid w:val="00FC5531"/>
    <w:rsid w:val="00FC73A0"/>
    <w:rsid w:val="00FD7635"/>
    <w:rsid w:val="00FE0867"/>
    <w:rsid w:val="00FE17F3"/>
    <w:rsid w:val="00FE5C2E"/>
    <w:rsid w:val="0C093C7F"/>
    <w:rsid w:val="1A476BF9"/>
    <w:rsid w:val="22E11CD6"/>
    <w:rsid w:val="255D12B7"/>
    <w:rsid w:val="30840634"/>
    <w:rsid w:val="31C8359D"/>
    <w:rsid w:val="34DF3158"/>
    <w:rsid w:val="35E3726E"/>
    <w:rsid w:val="47687D35"/>
    <w:rsid w:val="4844424B"/>
    <w:rsid w:val="4A053A5E"/>
    <w:rsid w:val="52BF252F"/>
    <w:rsid w:val="53BA733A"/>
    <w:rsid w:val="6BC575CB"/>
    <w:rsid w:val="74EC0FCA"/>
    <w:rsid w:val="751F7965"/>
    <w:rsid w:val="76006D86"/>
    <w:rsid w:val="7BCC37C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3"/>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semiHidden="0" w:name="footnote text"/>
    <w:lsdException w:qFormat="1" w:unhideWhenUsed="0" w:uiPriority="99" w:semiHidden="0" w:name="annotation text"/>
    <w:lsdException w:qFormat="1" w:uiPriority="0" w:semiHidden="0" w:name="header"/>
    <w:lsdException w:qFormat="1" w:uiPriority="99" w:semiHidden="0" w:name="footer"/>
    <w:lsdException w:qFormat="1" w:unhideWhenUsed="0" w:uiPriority="0" w:semiHidden="0"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99" w:semiHidden="0" w:name="annotation reference"/>
    <w:lsdException w:uiPriority="99" w:name="line number"/>
    <w:lsdException w:qFormat="1" w:unhideWhenUsed="0" w:uiPriority="0" w:semiHidden="0" w:name="page number"/>
    <w:lsdException w:qFormat="1" w:unhideWhenUsed="0" w:uiPriority="0" w:name="endnote reference"/>
    <w:lsdException w:qFormat="1" w:unhideWhenUsed="0" w:uiPriority="0"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3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74"/>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175"/>
    <w:semiHidden/>
    <w:unhideWhenUsed/>
    <w:qFormat/>
    <w:uiPriority w:val="9"/>
    <w:pPr>
      <w:keepNext/>
      <w:keepLines/>
      <w:spacing w:before="260" w:after="260" w:line="416" w:lineRule="auto"/>
      <w:outlineLvl w:val="2"/>
    </w:pPr>
    <w:rPr>
      <w:b/>
      <w:bCs/>
      <w:sz w:val="32"/>
      <w:szCs w:val="32"/>
    </w:rPr>
  </w:style>
  <w:style w:type="character" w:default="1" w:styleId="38">
    <w:name w:val="Default Paragraph Font"/>
    <w:semiHidden/>
    <w:unhideWhenUsed/>
    <w:qFormat/>
    <w:uiPriority w:val="1"/>
  </w:style>
  <w:style w:type="table" w:default="1" w:styleId="36">
    <w:name w:val="Normal Table"/>
    <w:semiHidden/>
    <w:unhideWhenUsed/>
    <w:qFormat/>
    <w:uiPriority w:val="99"/>
    <w:tblPr>
      <w:tblCellMar>
        <w:top w:w="0" w:type="dxa"/>
        <w:left w:w="108" w:type="dxa"/>
        <w:bottom w:w="0" w:type="dxa"/>
        <w:right w:w="108" w:type="dxa"/>
      </w:tblCellMar>
    </w:tblPr>
  </w:style>
  <w:style w:type="paragraph" w:styleId="5">
    <w:name w:val="toc 7"/>
    <w:basedOn w:val="1"/>
    <w:next w:val="1"/>
    <w:autoRedefine/>
    <w:semiHidden/>
    <w:qFormat/>
    <w:uiPriority w:val="0"/>
    <w:pPr>
      <w:tabs>
        <w:tab w:val="right" w:leader="dot" w:pos="9241"/>
      </w:tabs>
      <w:ind w:firstLine="505" w:firstLineChars="500"/>
      <w:jc w:val="left"/>
    </w:pPr>
    <w:rPr>
      <w:rFonts w:ascii="宋体"/>
      <w:szCs w:val="21"/>
    </w:rPr>
  </w:style>
  <w:style w:type="paragraph" w:styleId="6">
    <w:name w:val="index 8"/>
    <w:basedOn w:val="1"/>
    <w:next w:val="1"/>
    <w:autoRedefine/>
    <w:qFormat/>
    <w:uiPriority w:val="0"/>
    <w:pPr>
      <w:ind w:left="1680" w:hanging="210"/>
      <w:jc w:val="left"/>
    </w:pPr>
    <w:rPr>
      <w:rFonts w:ascii="Calibri" w:hAnsi="Calibri"/>
      <w:sz w:val="20"/>
      <w:szCs w:val="20"/>
    </w:rPr>
  </w:style>
  <w:style w:type="paragraph" w:styleId="7">
    <w:name w:val="caption"/>
    <w:basedOn w:val="1"/>
    <w:next w:val="1"/>
    <w:qFormat/>
    <w:uiPriority w:val="0"/>
    <w:pPr>
      <w:spacing w:before="152" w:after="160"/>
    </w:pPr>
    <w:rPr>
      <w:rFonts w:ascii="Arial" w:hAnsi="Arial" w:eastAsia="黑体" w:cs="Arial"/>
      <w:sz w:val="20"/>
      <w:szCs w:val="20"/>
    </w:rPr>
  </w:style>
  <w:style w:type="paragraph" w:styleId="8">
    <w:name w:val="index 5"/>
    <w:basedOn w:val="1"/>
    <w:next w:val="1"/>
    <w:autoRedefine/>
    <w:qFormat/>
    <w:uiPriority w:val="0"/>
    <w:pPr>
      <w:ind w:left="1050" w:hanging="210"/>
      <w:jc w:val="left"/>
    </w:pPr>
    <w:rPr>
      <w:rFonts w:ascii="Calibri" w:hAnsi="Calibri"/>
      <w:sz w:val="20"/>
      <w:szCs w:val="20"/>
    </w:rPr>
  </w:style>
  <w:style w:type="paragraph" w:styleId="9">
    <w:name w:val="Document Map"/>
    <w:basedOn w:val="1"/>
    <w:link w:val="132"/>
    <w:semiHidden/>
    <w:qFormat/>
    <w:uiPriority w:val="0"/>
    <w:pPr>
      <w:shd w:val="clear" w:color="auto" w:fill="000080"/>
    </w:pPr>
  </w:style>
  <w:style w:type="paragraph" w:styleId="10">
    <w:name w:val="annotation text"/>
    <w:basedOn w:val="1"/>
    <w:link w:val="160"/>
    <w:qFormat/>
    <w:uiPriority w:val="99"/>
    <w:pPr>
      <w:jc w:val="left"/>
    </w:pPr>
  </w:style>
  <w:style w:type="paragraph" w:styleId="11">
    <w:name w:val="index 6"/>
    <w:basedOn w:val="1"/>
    <w:next w:val="1"/>
    <w:autoRedefine/>
    <w:qFormat/>
    <w:uiPriority w:val="0"/>
    <w:pPr>
      <w:ind w:left="1260" w:hanging="210"/>
      <w:jc w:val="left"/>
    </w:pPr>
    <w:rPr>
      <w:rFonts w:ascii="Calibri" w:hAnsi="Calibri"/>
      <w:sz w:val="20"/>
      <w:szCs w:val="20"/>
    </w:rPr>
  </w:style>
  <w:style w:type="paragraph" w:styleId="12">
    <w:name w:val="index 4"/>
    <w:basedOn w:val="1"/>
    <w:next w:val="1"/>
    <w:autoRedefine/>
    <w:qFormat/>
    <w:uiPriority w:val="0"/>
    <w:pPr>
      <w:ind w:left="840" w:hanging="210"/>
      <w:jc w:val="left"/>
    </w:pPr>
    <w:rPr>
      <w:rFonts w:ascii="Calibri" w:hAnsi="Calibri"/>
      <w:sz w:val="20"/>
      <w:szCs w:val="20"/>
    </w:rPr>
  </w:style>
  <w:style w:type="paragraph" w:styleId="13">
    <w:name w:val="toc 5"/>
    <w:basedOn w:val="1"/>
    <w:next w:val="1"/>
    <w:autoRedefine/>
    <w:semiHidden/>
    <w:qFormat/>
    <w:uiPriority w:val="0"/>
    <w:pPr>
      <w:tabs>
        <w:tab w:val="right" w:leader="dot" w:pos="9241"/>
      </w:tabs>
      <w:ind w:firstLine="300" w:firstLineChars="300"/>
      <w:jc w:val="left"/>
    </w:pPr>
    <w:rPr>
      <w:rFonts w:ascii="宋体"/>
      <w:szCs w:val="21"/>
    </w:rPr>
  </w:style>
  <w:style w:type="paragraph" w:styleId="14">
    <w:name w:val="toc 3"/>
    <w:basedOn w:val="1"/>
    <w:next w:val="1"/>
    <w:autoRedefine/>
    <w:qFormat/>
    <w:uiPriority w:val="39"/>
    <w:pPr>
      <w:tabs>
        <w:tab w:val="right" w:leader="dot" w:pos="9241"/>
      </w:tabs>
      <w:ind w:firstLine="102" w:firstLineChars="100"/>
      <w:jc w:val="left"/>
    </w:pPr>
    <w:rPr>
      <w:rFonts w:ascii="宋体"/>
      <w:szCs w:val="21"/>
    </w:rPr>
  </w:style>
  <w:style w:type="paragraph" w:styleId="15">
    <w:name w:val="toc 8"/>
    <w:basedOn w:val="1"/>
    <w:next w:val="1"/>
    <w:autoRedefine/>
    <w:semiHidden/>
    <w:qFormat/>
    <w:uiPriority w:val="0"/>
    <w:pPr>
      <w:tabs>
        <w:tab w:val="right" w:leader="dot" w:pos="9241"/>
      </w:tabs>
      <w:ind w:firstLine="607" w:firstLineChars="600"/>
      <w:jc w:val="left"/>
    </w:pPr>
    <w:rPr>
      <w:rFonts w:ascii="宋体"/>
      <w:szCs w:val="21"/>
    </w:rPr>
  </w:style>
  <w:style w:type="paragraph" w:styleId="16">
    <w:name w:val="index 3"/>
    <w:basedOn w:val="1"/>
    <w:next w:val="1"/>
    <w:autoRedefine/>
    <w:qFormat/>
    <w:uiPriority w:val="0"/>
    <w:pPr>
      <w:ind w:left="630" w:hanging="210"/>
      <w:jc w:val="left"/>
    </w:pPr>
    <w:rPr>
      <w:rFonts w:ascii="Calibri" w:hAnsi="Calibri"/>
      <w:sz w:val="20"/>
      <w:szCs w:val="20"/>
    </w:rPr>
  </w:style>
  <w:style w:type="paragraph" w:styleId="17">
    <w:name w:val="endnote text"/>
    <w:basedOn w:val="1"/>
    <w:link w:val="131"/>
    <w:semiHidden/>
    <w:qFormat/>
    <w:uiPriority w:val="0"/>
    <w:pPr>
      <w:snapToGrid w:val="0"/>
      <w:jc w:val="left"/>
    </w:pPr>
  </w:style>
  <w:style w:type="paragraph" w:styleId="18">
    <w:name w:val="Balloon Text"/>
    <w:basedOn w:val="1"/>
    <w:link w:val="159"/>
    <w:qFormat/>
    <w:uiPriority w:val="0"/>
    <w:rPr>
      <w:sz w:val="18"/>
      <w:szCs w:val="18"/>
    </w:rPr>
  </w:style>
  <w:style w:type="paragraph" w:styleId="19">
    <w:name w:val="footer"/>
    <w:basedOn w:val="1"/>
    <w:link w:val="46"/>
    <w:unhideWhenUsed/>
    <w:qFormat/>
    <w:uiPriority w:val="99"/>
    <w:pPr>
      <w:tabs>
        <w:tab w:val="center" w:pos="4153"/>
        <w:tab w:val="right" w:pos="8306"/>
      </w:tabs>
      <w:snapToGrid w:val="0"/>
      <w:jc w:val="left"/>
    </w:pPr>
    <w:rPr>
      <w:sz w:val="18"/>
      <w:szCs w:val="18"/>
    </w:rPr>
  </w:style>
  <w:style w:type="paragraph" w:styleId="20">
    <w:name w:val="header"/>
    <w:basedOn w:val="1"/>
    <w:link w:val="45"/>
    <w:unhideWhenUsed/>
    <w:qFormat/>
    <w:uiPriority w:val="0"/>
    <w:pPr>
      <w:pBdr>
        <w:bottom w:val="single" w:color="auto" w:sz="6" w:space="1"/>
      </w:pBdr>
      <w:tabs>
        <w:tab w:val="center" w:pos="4153"/>
        <w:tab w:val="right" w:pos="8306"/>
      </w:tabs>
      <w:snapToGrid w:val="0"/>
      <w:jc w:val="center"/>
    </w:pPr>
    <w:rPr>
      <w:sz w:val="18"/>
      <w:szCs w:val="18"/>
    </w:rPr>
  </w:style>
  <w:style w:type="paragraph" w:styleId="21">
    <w:name w:val="toc 1"/>
    <w:basedOn w:val="1"/>
    <w:next w:val="1"/>
    <w:autoRedefine/>
    <w:qFormat/>
    <w:uiPriority w:val="39"/>
    <w:pPr>
      <w:tabs>
        <w:tab w:val="right" w:leader="dot" w:pos="9241"/>
      </w:tabs>
      <w:spacing w:beforeLines="25" w:afterLines="25"/>
    </w:pPr>
    <w:rPr>
      <w:rFonts w:ascii="宋体"/>
      <w:szCs w:val="21"/>
    </w:rPr>
  </w:style>
  <w:style w:type="paragraph" w:styleId="22">
    <w:name w:val="toc 4"/>
    <w:basedOn w:val="1"/>
    <w:next w:val="1"/>
    <w:autoRedefine/>
    <w:semiHidden/>
    <w:qFormat/>
    <w:uiPriority w:val="0"/>
    <w:pPr>
      <w:tabs>
        <w:tab w:val="right" w:leader="dot" w:pos="9241"/>
      </w:tabs>
      <w:ind w:firstLine="198" w:firstLineChars="200"/>
      <w:jc w:val="left"/>
    </w:pPr>
    <w:rPr>
      <w:rFonts w:ascii="宋体"/>
      <w:szCs w:val="21"/>
    </w:rPr>
  </w:style>
  <w:style w:type="paragraph" w:styleId="23">
    <w:name w:val="index heading"/>
    <w:basedOn w:val="1"/>
    <w:next w:val="24"/>
    <w:qFormat/>
    <w:uiPriority w:val="0"/>
    <w:pPr>
      <w:spacing w:before="120" w:after="120"/>
      <w:jc w:val="center"/>
    </w:pPr>
    <w:rPr>
      <w:rFonts w:ascii="Calibri" w:hAnsi="Calibri"/>
      <w:b/>
      <w:bCs/>
      <w:iCs/>
      <w:szCs w:val="20"/>
    </w:rPr>
  </w:style>
  <w:style w:type="paragraph" w:styleId="24">
    <w:name w:val="index 1"/>
    <w:basedOn w:val="1"/>
    <w:next w:val="25"/>
    <w:qFormat/>
    <w:uiPriority w:val="0"/>
    <w:pPr>
      <w:tabs>
        <w:tab w:val="right" w:leader="dot" w:pos="9299"/>
      </w:tabs>
      <w:jc w:val="left"/>
    </w:pPr>
    <w:rPr>
      <w:rFonts w:ascii="宋体"/>
      <w:szCs w:val="21"/>
    </w:rPr>
  </w:style>
  <w:style w:type="paragraph" w:customStyle="1" w:styleId="25">
    <w:name w:val="段"/>
    <w:link w:val="48"/>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26">
    <w:name w:val="footnote text"/>
    <w:basedOn w:val="1"/>
    <w:link w:val="113"/>
    <w:qFormat/>
    <w:uiPriority w:val="0"/>
    <w:pPr>
      <w:numPr>
        <w:ilvl w:val="0"/>
        <w:numId w:val="1"/>
      </w:numPr>
      <w:snapToGrid w:val="0"/>
      <w:jc w:val="left"/>
    </w:pPr>
    <w:rPr>
      <w:rFonts w:ascii="宋体"/>
      <w:sz w:val="18"/>
      <w:szCs w:val="18"/>
    </w:rPr>
  </w:style>
  <w:style w:type="paragraph" w:styleId="27">
    <w:name w:val="toc 6"/>
    <w:basedOn w:val="1"/>
    <w:next w:val="1"/>
    <w:autoRedefine/>
    <w:semiHidden/>
    <w:qFormat/>
    <w:uiPriority w:val="0"/>
    <w:pPr>
      <w:tabs>
        <w:tab w:val="right" w:leader="dot" w:pos="9241"/>
      </w:tabs>
      <w:ind w:firstLine="403" w:firstLineChars="400"/>
      <w:jc w:val="left"/>
    </w:pPr>
    <w:rPr>
      <w:rFonts w:ascii="宋体"/>
      <w:szCs w:val="21"/>
    </w:rPr>
  </w:style>
  <w:style w:type="paragraph" w:styleId="28">
    <w:name w:val="index 7"/>
    <w:basedOn w:val="1"/>
    <w:next w:val="1"/>
    <w:autoRedefine/>
    <w:qFormat/>
    <w:uiPriority w:val="0"/>
    <w:pPr>
      <w:ind w:left="1470" w:hanging="210"/>
      <w:jc w:val="left"/>
    </w:pPr>
    <w:rPr>
      <w:rFonts w:ascii="Calibri" w:hAnsi="Calibri"/>
      <w:sz w:val="20"/>
      <w:szCs w:val="20"/>
    </w:rPr>
  </w:style>
  <w:style w:type="paragraph" w:styleId="29">
    <w:name w:val="index 9"/>
    <w:basedOn w:val="1"/>
    <w:next w:val="1"/>
    <w:autoRedefine/>
    <w:qFormat/>
    <w:uiPriority w:val="0"/>
    <w:pPr>
      <w:ind w:left="1890" w:hanging="210"/>
      <w:jc w:val="left"/>
    </w:pPr>
    <w:rPr>
      <w:rFonts w:ascii="Calibri" w:hAnsi="Calibri"/>
      <w:sz w:val="20"/>
      <w:szCs w:val="20"/>
    </w:rPr>
  </w:style>
  <w:style w:type="paragraph" w:styleId="30">
    <w:name w:val="toc 2"/>
    <w:basedOn w:val="1"/>
    <w:next w:val="1"/>
    <w:autoRedefine/>
    <w:qFormat/>
    <w:uiPriority w:val="39"/>
    <w:pPr>
      <w:tabs>
        <w:tab w:val="right" w:leader="dot" w:pos="9241"/>
      </w:tabs>
    </w:pPr>
    <w:rPr>
      <w:rFonts w:ascii="宋体"/>
      <w:szCs w:val="21"/>
    </w:rPr>
  </w:style>
  <w:style w:type="paragraph" w:styleId="31">
    <w:name w:val="toc 9"/>
    <w:basedOn w:val="1"/>
    <w:next w:val="1"/>
    <w:autoRedefine/>
    <w:semiHidden/>
    <w:qFormat/>
    <w:uiPriority w:val="0"/>
    <w:pPr>
      <w:ind w:left="1470"/>
      <w:jc w:val="left"/>
    </w:pPr>
    <w:rPr>
      <w:sz w:val="20"/>
      <w:szCs w:val="20"/>
    </w:rPr>
  </w:style>
  <w:style w:type="paragraph" w:styleId="32">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33">
    <w:name w:val="index 2"/>
    <w:basedOn w:val="1"/>
    <w:next w:val="1"/>
    <w:autoRedefine/>
    <w:qFormat/>
    <w:uiPriority w:val="0"/>
    <w:pPr>
      <w:ind w:left="420" w:hanging="210"/>
      <w:jc w:val="left"/>
    </w:pPr>
    <w:rPr>
      <w:rFonts w:ascii="Calibri" w:hAnsi="Calibri"/>
      <w:sz w:val="20"/>
      <w:szCs w:val="20"/>
    </w:rPr>
  </w:style>
  <w:style w:type="paragraph" w:styleId="34">
    <w:name w:val="Title"/>
    <w:basedOn w:val="1"/>
    <w:next w:val="1"/>
    <w:link w:val="169"/>
    <w:qFormat/>
    <w:uiPriority w:val="0"/>
    <w:pPr>
      <w:spacing w:before="240" w:after="60"/>
      <w:jc w:val="center"/>
      <w:outlineLvl w:val="0"/>
    </w:pPr>
    <w:rPr>
      <w:rFonts w:ascii="Cambria" w:hAnsi="Cambria"/>
      <w:b/>
      <w:bCs/>
      <w:sz w:val="32"/>
      <w:szCs w:val="32"/>
    </w:rPr>
  </w:style>
  <w:style w:type="paragraph" w:styleId="35">
    <w:name w:val="annotation subject"/>
    <w:basedOn w:val="10"/>
    <w:next w:val="10"/>
    <w:link w:val="161"/>
    <w:qFormat/>
    <w:uiPriority w:val="0"/>
    <w:rPr>
      <w:b/>
      <w:bCs/>
    </w:rPr>
  </w:style>
  <w:style w:type="table" w:styleId="37">
    <w:name w:val="Table Grid"/>
    <w:basedOn w:val="36"/>
    <w:qFormat/>
    <w:uiPriority w:val="39"/>
    <w:rPr>
      <w:rFonts w:ascii="宋体" w:hAnsi="Times New Roman" w:eastAsia="宋体" w:cs="Times New Roman"/>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9">
    <w:name w:val="endnote reference"/>
    <w:semiHidden/>
    <w:qFormat/>
    <w:uiPriority w:val="0"/>
    <w:rPr>
      <w:vertAlign w:val="superscript"/>
    </w:rPr>
  </w:style>
  <w:style w:type="character" w:styleId="40">
    <w:name w:val="page number"/>
    <w:qFormat/>
    <w:uiPriority w:val="0"/>
    <w:rPr>
      <w:rFonts w:ascii="Times New Roman" w:hAnsi="Times New Roman" w:eastAsia="宋体"/>
      <w:sz w:val="18"/>
    </w:rPr>
  </w:style>
  <w:style w:type="character" w:styleId="41">
    <w:name w:val="FollowedHyperlink"/>
    <w:qFormat/>
    <w:uiPriority w:val="0"/>
    <w:rPr>
      <w:color w:val="800080"/>
      <w:u w:val="single"/>
    </w:rPr>
  </w:style>
  <w:style w:type="character" w:styleId="42">
    <w:name w:val="Hyperlink"/>
    <w:qFormat/>
    <w:uiPriority w:val="99"/>
    <w:rPr>
      <w:color w:val="0000FF"/>
      <w:spacing w:val="0"/>
      <w:w w:val="100"/>
      <w:szCs w:val="21"/>
      <w:u w:val="single"/>
    </w:rPr>
  </w:style>
  <w:style w:type="character" w:styleId="43">
    <w:name w:val="annotation reference"/>
    <w:qFormat/>
    <w:uiPriority w:val="99"/>
    <w:rPr>
      <w:sz w:val="21"/>
      <w:szCs w:val="21"/>
    </w:rPr>
  </w:style>
  <w:style w:type="character" w:styleId="44">
    <w:name w:val="footnote reference"/>
    <w:semiHidden/>
    <w:qFormat/>
    <w:uiPriority w:val="0"/>
    <w:rPr>
      <w:vertAlign w:val="superscript"/>
    </w:rPr>
  </w:style>
  <w:style w:type="character" w:customStyle="1" w:styleId="45">
    <w:name w:val="页眉 字符"/>
    <w:basedOn w:val="38"/>
    <w:link w:val="20"/>
    <w:qFormat/>
    <w:uiPriority w:val="0"/>
    <w:rPr>
      <w:sz w:val="18"/>
      <w:szCs w:val="18"/>
    </w:rPr>
  </w:style>
  <w:style w:type="character" w:customStyle="1" w:styleId="46">
    <w:name w:val="页脚 字符"/>
    <w:basedOn w:val="38"/>
    <w:link w:val="19"/>
    <w:qFormat/>
    <w:uiPriority w:val="99"/>
    <w:rPr>
      <w:sz w:val="18"/>
      <w:szCs w:val="18"/>
    </w:rPr>
  </w:style>
  <w:style w:type="character" w:customStyle="1" w:styleId="47">
    <w:name w:val="标题 1 字符"/>
    <w:basedOn w:val="38"/>
    <w:link w:val="2"/>
    <w:qFormat/>
    <w:uiPriority w:val="0"/>
    <w:rPr>
      <w:rFonts w:ascii="Times New Roman" w:hAnsi="Times New Roman" w:eastAsia="宋体" w:cs="Times New Roman"/>
      <w:b/>
      <w:bCs/>
      <w:kern w:val="44"/>
      <w:sz w:val="44"/>
      <w:szCs w:val="44"/>
    </w:rPr>
  </w:style>
  <w:style w:type="character" w:customStyle="1" w:styleId="48">
    <w:name w:val="段 Char"/>
    <w:link w:val="25"/>
    <w:qFormat/>
    <w:uiPriority w:val="0"/>
    <w:rPr>
      <w:rFonts w:ascii="宋体" w:hAnsi="Times New Roman" w:eastAsia="宋体" w:cs="Times New Roman"/>
      <w:kern w:val="0"/>
      <w:szCs w:val="20"/>
    </w:rPr>
  </w:style>
  <w:style w:type="paragraph" w:customStyle="1" w:styleId="49">
    <w:name w:val="一级条标题"/>
    <w:next w:val="25"/>
    <w:qFormat/>
    <w:uiPriority w:val="0"/>
    <w:pPr>
      <w:numPr>
        <w:ilvl w:val="1"/>
        <w:numId w:val="2"/>
      </w:numPr>
      <w:spacing w:beforeLines="50" w:afterLines="50"/>
      <w:ind w:left="848" w:hanging="848" w:hangingChars="404"/>
      <w:outlineLvl w:val="2"/>
    </w:pPr>
    <w:rPr>
      <w:rFonts w:ascii="黑体" w:hAnsi="Times New Roman" w:eastAsia="黑体" w:cs="Times New Roman"/>
      <w:sz w:val="21"/>
      <w:szCs w:val="21"/>
      <w:lang w:val="en-US" w:eastAsia="zh-CN" w:bidi="ar-SA"/>
    </w:rPr>
  </w:style>
  <w:style w:type="paragraph" w:customStyle="1" w:styleId="50">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51">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52">
    <w:name w:val="章标题"/>
    <w:next w:val="25"/>
    <w:qFormat/>
    <w:uiPriority w:val="0"/>
    <w:pPr>
      <w:numPr>
        <w:ilvl w:val="0"/>
        <w:numId w:val="2"/>
      </w:numPr>
      <w:spacing w:beforeLines="100" w:afterLines="100"/>
      <w:jc w:val="both"/>
      <w:outlineLvl w:val="1"/>
    </w:pPr>
    <w:rPr>
      <w:rFonts w:ascii="黑体" w:hAnsi="Times New Roman" w:eastAsia="黑体" w:cs="Times New Roman"/>
      <w:sz w:val="21"/>
      <w:lang w:val="en-US" w:eastAsia="zh-CN" w:bidi="ar-SA"/>
    </w:rPr>
  </w:style>
  <w:style w:type="paragraph" w:customStyle="1" w:styleId="53">
    <w:name w:val="二级条标题"/>
    <w:basedOn w:val="49"/>
    <w:next w:val="25"/>
    <w:qFormat/>
    <w:uiPriority w:val="0"/>
    <w:pPr>
      <w:numPr>
        <w:ilvl w:val="2"/>
      </w:numPr>
      <w:spacing w:before="50" w:after="50"/>
      <w:outlineLvl w:val="3"/>
    </w:pPr>
  </w:style>
  <w:style w:type="paragraph" w:customStyle="1" w:styleId="54">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55">
    <w:name w:val="列项——（一级）"/>
    <w:qFormat/>
    <w:uiPriority w:val="0"/>
    <w:pPr>
      <w:widowControl w:val="0"/>
      <w:numPr>
        <w:ilvl w:val="0"/>
        <w:numId w:val="3"/>
      </w:numPr>
      <w:jc w:val="both"/>
    </w:pPr>
    <w:rPr>
      <w:rFonts w:ascii="宋体" w:hAnsi="Times New Roman" w:eastAsia="宋体" w:cs="Times New Roman"/>
      <w:sz w:val="21"/>
      <w:lang w:val="en-US" w:eastAsia="zh-CN" w:bidi="ar-SA"/>
    </w:rPr>
  </w:style>
  <w:style w:type="paragraph" w:customStyle="1" w:styleId="56">
    <w:name w:val="列项●（二级）"/>
    <w:qFormat/>
    <w:uiPriority w:val="0"/>
    <w:pPr>
      <w:numPr>
        <w:ilvl w:val="1"/>
        <w:numId w:val="3"/>
      </w:numPr>
      <w:tabs>
        <w:tab w:val="left" w:pos="840"/>
      </w:tabs>
      <w:jc w:val="both"/>
    </w:pPr>
    <w:rPr>
      <w:rFonts w:ascii="宋体" w:hAnsi="Times New Roman" w:eastAsia="宋体" w:cs="Times New Roman"/>
      <w:sz w:val="21"/>
      <w:lang w:val="en-US" w:eastAsia="zh-CN" w:bidi="ar-SA"/>
    </w:rPr>
  </w:style>
  <w:style w:type="paragraph" w:customStyle="1" w:styleId="57">
    <w:name w:val="目次、标准名称标题"/>
    <w:basedOn w:val="1"/>
    <w:next w:val="25"/>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58">
    <w:name w:val="三级条标题"/>
    <w:basedOn w:val="53"/>
    <w:next w:val="25"/>
    <w:qFormat/>
    <w:uiPriority w:val="0"/>
    <w:pPr>
      <w:numPr>
        <w:ilvl w:val="3"/>
      </w:numPr>
      <w:outlineLvl w:val="4"/>
    </w:pPr>
  </w:style>
  <w:style w:type="paragraph" w:customStyle="1" w:styleId="59">
    <w:name w:val="示例"/>
    <w:next w:val="60"/>
    <w:qFormat/>
    <w:uiPriority w:val="0"/>
    <w:pPr>
      <w:widowControl w:val="0"/>
      <w:ind w:firstLine="363"/>
      <w:jc w:val="both"/>
    </w:pPr>
    <w:rPr>
      <w:rFonts w:ascii="宋体" w:hAnsi="Times New Roman" w:eastAsia="宋体" w:cs="Times New Roman"/>
      <w:sz w:val="18"/>
      <w:szCs w:val="18"/>
      <w:lang w:val="en-US" w:eastAsia="zh-CN" w:bidi="ar-SA"/>
    </w:rPr>
  </w:style>
  <w:style w:type="paragraph" w:customStyle="1" w:styleId="60">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61">
    <w:name w:val="数字编号列项（二级）"/>
    <w:qFormat/>
    <w:uiPriority w:val="0"/>
    <w:pPr>
      <w:numPr>
        <w:ilvl w:val="1"/>
        <w:numId w:val="4"/>
      </w:numPr>
      <w:jc w:val="both"/>
    </w:pPr>
    <w:rPr>
      <w:rFonts w:ascii="宋体" w:hAnsi="Times New Roman" w:eastAsia="宋体" w:cs="Times New Roman"/>
      <w:sz w:val="21"/>
      <w:lang w:val="en-US" w:eastAsia="zh-CN" w:bidi="ar-SA"/>
    </w:rPr>
  </w:style>
  <w:style w:type="paragraph" w:customStyle="1" w:styleId="62">
    <w:name w:val="四级条标题"/>
    <w:basedOn w:val="58"/>
    <w:next w:val="25"/>
    <w:qFormat/>
    <w:uiPriority w:val="0"/>
    <w:pPr>
      <w:numPr>
        <w:ilvl w:val="4"/>
      </w:numPr>
      <w:outlineLvl w:val="5"/>
    </w:pPr>
  </w:style>
  <w:style w:type="paragraph" w:customStyle="1" w:styleId="63">
    <w:name w:val="五级条标题"/>
    <w:basedOn w:val="62"/>
    <w:next w:val="25"/>
    <w:qFormat/>
    <w:uiPriority w:val="0"/>
    <w:pPr>
      <w:numPr>
        <w:ilvl w:val="5"/>
      </w:numPr>
      <w:outlineLvl w:val="6"/>
    </w:pPr>
  </w:style>
  <w:style w:type="paragraph" w:customStyle="1" w:styleId="64">
    <w:name w:val="注："/>
    <w:next w:val="25"/>
    <w:qFormat/>
    <w:uiPriority w:val="0"/>
    <w:pPr>
      <w:widowControl w:val="0"/>
      <w:autoSpaceDE w:val="0"/>
      <w:autoSpaceDN w:val="0"/>
      <w:ind w:left="726" w:hanging="363"/>
      <w:jc w:val="both"/>
    </w:pPr>
    <w:rPr>
      <w:rFonts w:ascii="宋体" w:hAnsi="Times New Roman" w:eastAsia="宋体" w:cs="Times New Roman"/>
      <w:sz w:val="18"/>
      <w:szCs w:val="18"/>
      <w:lang w:val="en-US" w:eastAsia="zh-CN" w:bidi="ar-SA"/>
    </w:rPr>
  </w:style>
  <w:style w:type="paragraph" w:customStyle="1" w:styleId="65">
    <w:name w:val="注×："/>
    <w:qFormat/>
    <w:uiPriority w:val="0"/>
    <w:pPr>
      <w:widowControl w:val="0"/>
      <w:numPr>
        <w:ilvl w:val="0"/>
        <w:numId w:val="5"/>
      </w:numPr>
      <w:autoSpaceDE w:val="0"/>
      <w:autoSpaceDN w:val="0"/>
      <w:jc w:val="both"/>
    </w:pPr>
    <w:rPr>
      <w:rFonts w:ascii="宋体" w:hAnsi="Times New Roman" w:eastAsia="宋体" w:cs="Times New Roman"/>
      <w:sz w:val="18"/>
      <w:szCs w:val="18"/>
      <w:lang w:val="en-US" w:eastAsia="zh-CN" w:bidi="ar-SA"/>
    </w:rPr>
  </w:style>
  <w:style w:type="paragraph" w:customStyle="1" w:styleId="66">
    <w:name w:val="字母编号列项（一级）"/>
    <w:qFormat/>
    <w:uiPriority w:val="0"/>
    <w:pPr>
      <w:numPr>
        <w:ilvl w:val="0"/>
        <w:numId w:val="4"/>
      </w:numPr>
      <w:jc w:val="both"/>
    </w:pPr>
    <w:rPr>
      <w:rFonts w:ascii="宋体" w:hAnsi="Times New Roman" w:eastAsia="宋体" w:cs="Times New Roman"/>
      <w:sz w:val="21"/>
      <w:lang w:val="en-US" w:eastAsia="zh-CN" w:bidi="ar-SA"/>
    </w:rPr>
  </w:style>
  <w:style w:type="paragraph" w:customStyle="1" w:styleId="67">
    <w:name w:val="列项◆（三级）"/>
    <w:basedOn w:val="1"/>
    <w:qFormat/>
    <w:uiPriority w:val="0"/>
    <w:pPr>
      <w:numPr>
        <w:ilvl w:val="2"/>
        <w:numId w:val="3"/>
      </w:numPr>
    </w:pPr>
    <w:rPr>
      <w:rFonts w:ascii="宋体"/>
      <w:szCs w:val="21"/>
    </w:rPr>
  </w:style>
  <w:style w:type="paragraph" w:customStyle="1" w:styleId="68">
    <w:name w:val="编号列项（三级）"/>
    <w:qFormat/>
    <w:uiPriority w:val="0"/>
    <w:pPr>
      <w:numPr>
        <w:ilvl w:val="2"/>
        <w:numId w:val="4"/>
      </w:numPr>
    </w:pPr>
    <w:rPr>
      <w:rFonts w:ascii="宋体" w:hAnsi="Times New Roman" w:eastAsia="宋体" w:cs="Times New Roman"/>
      <w:sz w:val="21"/>
      <w:lang w:val="en-US" w:eastAsia="zh-CN" w:bidi="ar-SA"/>
    </w:rPr>
  </w:style>
  <w:style w:type="paragraph" w:customStyle="1" w:styleId="69">
    <w:name w:val="示例×："/>
    <w:basedOn w:val="52"/>
    <w:qFormat/>
    <w:uiPriority w:val="0"/>
    <w:pPr>
      <w:numPr>
        <w:numId w:val="0"/>
      </w:numPr>
      <w:spacing w:beforeLines="0" w:afterLines="0"/>
      <w:ind w:firstLine="363"/>
      <w:outlineLvl w:val="9"/>
    </w:pPr>
    <w:rPr>
      <w:rFonts w:ascii="宋体" w:eastAsia="宋体"/>
      <w:sz w:val="18"/>
      <w:szCs w:val="18"/>
    </w:rPr>
  </w:style>
  <w:style w:type="paragraph" w:customStyle="1" w:styleId="70">
    <w:name w:val="二级无"/>
    <w:basedOn w:val="53"/>
    <w:qFormat/>
    <w:uiPriority w:val="0"/>
    <w:pPr>
      <w:spacing w:beforeLines="0" w:afterLines="0"/>
    </w:pPr>
    <w:rPr>
      <w:rFonts w:ascii="宋体" w:eastAsia="宋体"/>
    </w:rPr>
  </w:style>
  <w:style w:type="paragraph" w:customStyle="1" w:styleId="71">
    <w:name w:val="注：（正文）"/>
    <w:basedOn w:val="64"/>
    <w:next w:val="25"/>
    <w:qFormat/>
    <w:uiPriority w:val="0"/>
  </w:style>
  <w:style w:type="paragraph" w:customStyle="1" w:styleId="72">
    <w:name w:val="注×：（正文）"/>
    <w:qFormat/>
    <w:uiPriority w:val="0"/>
    <w:pPr>
      <w:numPr>
        <w:ilvl w:val="0"/>
        <w:numId w:val="6"/>
      </w:numPr>
      <w:jc w:val="both"/>
    </w:pPr>
    <w:rPr>
      <w:rFonts w:ascii="宋体" w:hAnsi="Times New Roman" w:eastAsia="宋体" w:cs="Times New Roman"/>
      <w:sz w:val="18"/>
      <w:szCs w:val="18"/>
      <w:lang w:val="en-US" w:eastAsia="zh-CN" w:bidi="ar-SA"/>
    </w:rPr>
  </w:style>
  <w:style w:type="paragraph" w:customStyle="1" w:styleId="73">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74">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75">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76">
    <w:name w:val="标准书眉_偶数页"/>
    <w:basedOn w:val="51"/>
    <w:next w:val="1"/>
    <w:qFormat/>
    <w:uiPriority w:val="0"/>
    <w:pPr>
      <w:jc w:val="left"/>
    </w:pPr>
  </w:style>
  <w:style w:type="paragraph" w:customStyle="1" w:styleId="77">
    <w:name w:val="标准书眉一"/>
    <w:qFormat/>
    <w:uiPriority w:val="0"/>
    <w:pPr>
      <w:jc w:val="both"/>
    </w:pPr>
    <w:rPr>
      <w:rFonts w:ascii="Times New Roman" w:hAnsi="Times New Roman" w:eastAsia="宋体" w:cs="Times New Roman"/>
      <w:lang w:val="en-US" w:eastAsia="zh-CN" w:bidi="ar-SA"/>
    </w:rPr>
  </w:style>
  <w:style w:type="paragraph" w:customStyle="1" w:styleId="78">
    <w:name w:val="参考文献"/>
    <w:basedOn w:val="1"/>
    <w:next w:val="25"/>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79">
    <w:name w:val="参考文献、索引标题"/>
    <w:basedOn w:val="1"/>
    <w:next w:val="25"/>
    <w:qFormat/>
    <w:uiPriority w:val="0"/>
    <w:pPr>
      <w:keepNext/>
      <w:pageBreakBefore/>
      <w:widowControl/>
      <w:shd w:val="clear" w:color="FFFFFF" w:fill="FFFFFF"/>
      <w:spacing w:before="640" w:after="200"/>
      <w:jc w:val="center"/>
      <w:outlineLvl w:val="0"/>
    </w:pPr>
    <w:rPr>
      <w:rFonts w:ascii="黑体" w:eastAsia="黑体"/>
      <w:kern w:val="0"/>
      <w:szCs w:val="20"/>
    </w:rPr>
  </w:style>
  <w:style w:type="character" w:customStyle="1" w:styleId="80">
    <w:name w:val="发布"/>
    <w:qFormat/>
    <w:uiPriority w:val="0"/>
    <w:rPr>
      <w:rFonts w:ascii="黑体" w:eastAsia="黑体"/>
      <w:spacing w:val="85"/>
      <w:w w:val="100"/>
      <w:position w:val="3"/>
      <w:sz w:val="28"/>
      <w:szCs w:val="28"/>
    </w:rPr>
  </w:style>
  <w:style w:type="paragraph" w:customStyle="1" w:styleId="81">
    <w:name w:val="发布部门"/>
    <w:next w:val="25"/>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82">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83">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84">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85">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86">
    <w:name w:val="封面标准英文名称"/>
    <w:basedOn w:val="85"/>
    <w:qFormat/>
    <w:uiPriority w:val="0"/>
    <w:pPr>
      <w:framePr w:wrap="around"/>
      <w:spacing w:before="370" w:line="400" w:lineRule="exact"/>
    </w:pPr>
    <w:rPr>
      <w:rFonts w:ascii="Times New Roman"/>
      <w:sz w:val="28"/>
      <w:szCs w:val="28"/>
    </w:rPr>
  </w:style>
  <w:style w:type="paragraph" w:customStyle="1" w:styleId="87">
    <w:name w:val="封面一致性程度标识"/>
    <w:basedOn w:val="86"/>
    <w:qFormat/>
    <w:uiPriority w:val="0"/>
    <w:pPr>
      <w:framePr w:wrap="around"/>
      <w:spacing w:before="440"/>
    </w:pPr>
    <w:rPr>
      <w:rFonts w:ascii="宋体" w:eastAsia="宋体"/>
    </w:rPr>
  </w:style>
  <w:style w:type="paragraph" w:customStyle="1" w:styleId="88">
    <w:name w:val="封面标准文稿类别"/>
    <w:basedOn w:val="87"/>
    <w:qFormat/>
    <w:uiPriority w:val="0"/>
    <w:pPr>
      <w:framePr w:wrap="around"/>
      <w:spacing w:after="160" w:line="240" w:lineRule="auto"/>
    </w:pPr>
    <w:rPr>
      <w:sz w:val="24"/>
    </w:rPr>
  </w:style>
  <w:style w:type="paragraph" w:customStyle="1" w:styleId="89">
    <w:name w:val="封面标准文稿编辑信息"/>
    <w:basedOn w:val="88"/>
    <w:qFormat/>
    <w:uiPriority w:val="0"/>
    <w:pPr>
      <w:framePr w:wrap="around"/>
      <w:spacing w:before="180" w:line="180" w:lineRule="exact"/>
    </w:pPr>
    <w:rPr>
      <w:sz w:val="21"/>
    </w:rPr>
  </w:style>
  <w:style w:type="paragraph" w:customStyle="1" w:styleId="90">
    <w:name w:val="封面正文"/>
    <w:qFormat/>
    <w:uiPriority w:val="0"/>
    <w:pPr>
      <w:jc w:val="both"/>
    </w:pPr>
    <w:rPr>
      <w:rFonts w:ascii="Times New Roman" w:hAnsi="Times New Roman" w:eastAsia="宋体" w:cs="Times New Roman"/>
      <w:lang w:val="en-US" w:eastAsia="zh-CN" w:bidi="ar-SA"/>
    </w:rPr>
  </w:style>
  <w:style w:type="paragraph" w:customStyle="1" w:styleId="91">
    <w:name w:val="附录标识"/>
    <w:basedOn w:val="1"/>
    <w:next w:val="25"/>
    <w:qFormat/>
    <w:uiPriority w:val="0"/>
    <w:pPr>
      <w:keepNext/>
      <w:widowControl/>
      <w:numPr>
        <w:ilvl w:val="0"/>
        <w:numId w:val="7"/>
      </w:numPr>
      <w:shd w:val="clear" w:color="FFFFFF" w:fill="FFFFFF"/>
      <w:tabs>
        <w:tab w:val="left" w:pos="6405"/>
      </w:tabs>
      <w:spacing w:before="640" w:after="280"/>
      <w:jc w:val="center"/>
      <w:outlineLvl w:val="0"/>
    </w:pPr>
    <w:rPr>
      <w:rFonts w:ascii="黑体" w:eastAsia="黑体"/>
      <w:kern w:val="0"/>
      <w:szCs w:val="20"/>
    </w:rPr>
  </w:style>
  <w:style w:type="paragraph" w:customStyle="1" w:styleId="92">
    <w:name w:val="附录标题"/>
    <w:basedOn w:val="25"/>
    <w:next w:val="25"/>
    <w:qFormat/>
    <w:uiPriority w:val="0"/>
    <w:pPr>
      <w:ind w:firstLine="0" w:firstLineChars="0"/>
      <w:jc w:val="center"/>
    </w:pPr>
    <w:rPr>
      <w:rFonts w:ascii="黑体" w:eastAsia="黑体"/>
    </w:rPr>
  </w:style>
  <w:style w:type="paragraph" w:customStyle="1" w:styleId="93">
    <w:name w:val="附录表标号"/>
    <w:basedOn w:val="1"/>
    <w:next w:val="25"/>
    <w:qFormat/>
    <w:uiPriority w:val="0"/>
    <w:pPr>
      <w:numPr>
        <w:ilvl w:val="0"/>
        <w:numId w:val="8"/>
      </w:numPr>
      <w:tabs>
        <w:tab w:val="clear" w:pos="0"/>
      </w:tabs>
      <w:spacing w:line="14" w:lineRule="exact"/>
      <w:ind w:left="811" w:hanging="448"/>
      <w:jc w:val="center"/>
      <w:outlineLvl w:val="0"/>
    </w:pPr>
    <w:rPr>
      <w:color w:val="FFFFFF"/>
    </w:rPr>
  </w:style>
  <w:style w:type="paragraph" w:customStyle="1" w:styleId="94">
    <w:name w:val="附录表标题"/>
    <w:basedOn w:val="1"/>
    <w:next w:val="25"/>
    <w:qFormat/>
    <w:uiPriority w:val="0"/>
    <w:pPr>
      <w:numPr>
        <w:ilvl w:val="1"/>
        <w:numId w:val="8"/>
      </w:numPr>
      <w:spacing w:beforeLines="50" w:afterLines="50"/>
      <w:jc w:val="center"/>
    </w:pPr>
    <w:rPr>
      <w:rFonts w:ascii="黑体" w:eastAsia="黑体"/>
      <w:szCs w:val="21"/>
    </w:rPr>
  </w:style>
  <w:style w:type="paragraph" w:customStyle="1" w:styleId="95">
    <w:name w:val="附录二级条标题"/>
    <w:basedOn w:val="1"/>
    <w:next w:val="25"/>
    <w:qFormat/>
    <w:uiPriority w:val="0"/>
    <w:pPr>
      <w:widowControl/>
      <w:numPr>
        <w:ilvl w:val="3"/>
        <w:numId w:val="7"/>
      </w:numPr>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96">
    <w:name w:val="附录二级无"/>
    <w:basedOn w:val="95"/>
    <w:qFormat/>
    <w:uiPriority w:val="0"/>
    <w:pPr>
      <w:spacing w:beforeLines="0" w:afterLines="0"/>
    </w:pPr>
    <w:rPr>
      <w:rFonts w:ascii="宋体" w:eastAsia="宋体"/>
      <w:szCs w:val="21"/>
    </w:rPr>
  </w:style>
  <w:style w:type="paragraph" w:customStyle="1" w:styleId="97">
    <w:name w:val="附录公式"/>
    <w:basedOn w:val="25"/>
    <w:next w:val="25"/>
    <w:link w:val="98"/>
    <w:qFormat/>
    <w:uiPriority w:val="0"/>
  </w:style>
  <w:style w:type="character" w:customStyle="1" w:styleId="98">
    <w:name w:val="附录公式 Char"/>
    <w:link w:val="97"/>
    <w:qFormat/>
    <w:uiPriority w:val="0"/>
    <w:rPr>
      <w:rFonts w:ascii="宋体" w:hAnsi="Times New Roman" w:eastAsia="宋体" w:cs="Times New Roman"/>
      <w:kern w:val="0"/>
      <w:szCs w:val="20"/>
    </w:rPr>
  </w:style>
  <w:style w:type="paragraph" w:customStyle="1" w:styleId="99">
    <w:name w:val="附录公式编号制表符"/>
    <w:basedOn w:val="1"/>
    <w:next w:val="25"/>
    <w:qFormat/>
    <w:uiPriority w:val="0"/>
    <w:pPr>
      <w:widowControl/>
      <w:tabs>
        <w:tab w:val="center" w:pos="4201"/>
        <w:tab w:val="right" w:leader="dot" w:pos="9298"/>
      </w:tabs>
      <w:autoSpaceDE w:val="0"/>
      <w:autoSpaceDN w:val="0"/>
    </w:pPr>
    <w:rPr>
      <w:rFonts w:ascii="宋体"/>
      <w:kern w:val="0"/>
      <w:szCs w:val="20"/>
    </w:rPr>
  </w:style>
  <w:style w:type="paragraph" w:customStyle="1" w:styleId="100">
    <w:name w:val="附录三级条标题"/>
    <w:basedOn w:val="95"/>
    <w:next w:val="25"/>
    <w:qFormat/>
    <w:uiPriority w:val="0"/>
    <w:pPr>
      <w:numPr>
        <w:ilvl w:val="4"/>
      </w:numPr>
      <w:tabs>
        <w:tab w:val="left" w:pos="360"/>
      </w:tabs>
      <w:outlineLvl w:val="4"/>
    </w:pPr>
  </w:style>
  <w:style w:type="paragraph" w:customStyle="1" w:styleId="101">
    <w:name w:val="附录三级无"/>
    <w:basedOn w:val="100"/>
    <w:qFormat/>
    <w:uiPriority w:val="0"/>
    <w:pPr>
      <w:tabs>
        <w:tab w:val="clear" w:pos="360"/>
      </w:tabs>
      <w:spacing w:beforeLines="0" w:afterLines="0"/>
    </w:pPr>
    <w:rPr>
      <w:rFonts w:ascii="宋体" w:eastAsia="宋体"/>
      <w:szCs w:val="21"/>
    </w:rPr>
  </w:style>
  <w:style w:type="paragraph" w:customStyle="1" w:styleId="102">
    <w:name w:val="附录数字编号列项（二级）"/>
    <w:qFormat/>
    <w:uiPriority w:val="0"/>
    <w:pPr>
      <w:numPr>
        <w:ilvl w:val="1"/>
        <w:numId w:val="9"/>
      </w:numPr>
    </w:pPr>
    <w:rPr>
      <w:rFonts w:ascii="宋体" w:hAnsi="Times New Roman" w:eastAsia="宋体" w:cs="Times New Roman"/>
      <w:sz w:val="21"/>
      <w:lang w:val="en-US" w:eastAsia="zh-CN" w:bidi="ar-SA"/>
    </w:rPr>
  </w:style>
  <w:style w:type="paragraph" w:customStyle="1" w:styleId="103">
    <w:name w:val="附录四级条标题"/>
    <w:basedOn w:val="100"/>
    <w:next w:val="25"/>
    <w:qFormat/>
    <w:uiPriority w:val="0"/>
    <w:pPr>
      <w:numPr>
        <w:ilvl w:val="5"/>
      </w:numPr>
      <w:outlineLvl w:val="5"/>
    </w:pPr>
  </w:style>
  <w:style w:type="paragraph" w:customStyle="1" w:styleId="104">
    <w:name w:val="附录四级无"/>
    <w:basedOn w:val="103"/>
    <w:qFormat/>
    <w:uiPriority w:val="0"/>
    <w:pPr>
      <w:tabs>
        <w:tab w:val="clear" w:pos="360"/>
      </w:tabs>
      <w:spacing w:beforeLines="0" w:afterLines="0"/>
    </w:pPr>
    <w:rPr>
      <w:rFonts w:ascii="宋体" w:eastAsia="宋体"/>
      <w:szCs w:val="21"/>
    </w:rPr>
  </w:style>
  <w:style w:type="paragraph" w:customStyle="1" w:styleId="105">
    <w:name w:val="附录图标号"/>
    <w:basedOn w:val="1"/>
    <w:qFormat/>
    <w:uiPriority w:val="0"/>
    <w:pPr>
      <w:keepNext/>
      <w:pageBreakBefore/>
      <w:widowControl/>
      <w:numPr>
        <w:ilvl w:val="0"/>
        <w:numId w:val="10"/>
      </w:numPr>
      <w:spacing w:line="14" w:lineRule="exact"/>
      <w:ind w:left="0" w:firstLine="363"/>
      <w:jc w:val="center"/>
      <w:outlineLvl w:val="0"/>
    </w:pPr>
    <w:rPr>
      <w:color w:val="FFFFFF"/>
    </w:rPr>
  </w:style>
  <w:style w:type="paragraph" w:customStyle="1" w:styleId="106">
    <w:name w:val="附录图标题"/>
    <w:basedOn w:val="1"/>
    <w:next w:val="25"/>
    <w:qFormat/>
    <w:uiPriority w:val="0"/>
    <w:pPr>
      <w:numPr>
        <w:ilvl w:val="1"/>
        <w:numId w:val="10"/>
      </w:numPr>
      <w:spacing w:beforeLines="50" w:afterLines="50"/>
      <w:jc w:val="center"/>
    </w:pPr>
    <w:rPr>
      <w:rFonts w:ascii="黑体" w:eastAsia="黑体"/>
      <w:szCs w:val="21"/>
    </w:rPr>
  </w:style>
  <w:style w:type="paragraph" w:customStyle="1" w:styleId="107">
    <w:name w:val="附录五级条标题"/>
    <w:basedOn w:val="103"/>
    <w:next w:val="25"/>
    <w:qFormat/>
    <w:uiPriority w:val="0"/>
    <w:pPr>
      <w:numPr>
        <w:ilvl w:val="6"/>
      </w:numPr>
      <w:outlineLvl w:val="6"/>
    </w:pPr>
  </w:style>
  <w:style w:type="paragraph" w:customStyle="1" w:styleId="108">
    <w:name w:val="附录五级无"/>
    <w:basedOn w:val="107"/>
    <w:qFormat/>
    <w:uiPriority w:val="0"/>
    <w:pPr>
      <w:tabs>
        <w:tab w:val="clear" w:pos="360"/>
      </w:tabs>
      <w:spacing w:beforeLines="0" w:afterLines="0"/>
    </w:pPr>
    <w:rPr>
      <w:rFonts w:ascii="宋体" w:eastAsia="宋体"/>
      <w:szCs w:val="21"/>
    </w:rPr>
  </w:style>
  <w:style w:type="paragraph" w:customStyle="1" w:styleId="109">
    <w:name w:val="附录章标题"/>
    <w:next w:val="25"/>
    <w:qFormat/>
    <w:uiPriority w:val="0"/>
    <w:pPr>
      <w:numPr>
        <w:ilvl w:val="1"/>
        <w:numId w:val="7"/>
      </w:numPr>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110">
    <w:name w:val="附录一级条标题"/>
    <w:basedOn w:val="109"/>
    <w:next w:val="25"/>
    <w:qFormat/>
    <w:uiPriority w:val="0"/>
    <w:pPr>
      <w:numPr>
        <w:ilvl w:val="2"/>
      </w:numPr>
      <w:autoSpaceDN w:val="0"/>
      <w:spacing w:beforeLines="50" w:afterLines="50"/>
      <w:outlineLvl w:val="2"/>
    </w:pPr>
  </w:style>
  <w:style w:type="paragraph" w:customStyle="1" w:styleId="111">
    <w:name w:val="附录一级无"/>
    <w:basedOn w:val="110"/>
    <w:qFormat/>
    <w:uiPriority w:val="0"/>
    <w:pPr>
      <w:spacing w:beforeLines="0" w:afterLines="0"/>
    </w:pPr>
    <w:rPr>
      <w:rFonts w:ascii="宋体" w:eastAsia="宋体"/>
      <w:szCs w:val="21"/>
    </w:rPr>
  </w:style>
  <w:style w:type="paragraph" w:customStyle="1" w:styleId="112">
    <w:name w:val="附录字母编号列项（一级）"/>
    <w:qFormat/>
    <w:uiPriority w:val="0"/>
    <w:pPr>
      <w:numPr>
        <w:ilvl w:val="0"/>
        <w:numId w:val="9"/>
      </w:numPr>
    </w:pPr>
    <w:rPr>
      <w:rFonts w:ascii="宋体" w:hAnsi="Times New Roman" w:eastAsia="宋体" w:cs="Times New Roman"/>
      <w:sz w:val="21"/>
      <w:lang w:val="en-US" w:eastAsia="zh-CN" w:bidi="ar-SA"/>
    </w:rPr>
  </w:style>
  <w:style w:type="character" w:customStyle="1" w:styleId="113">
    <w:name w:val="脚注文本 字符"/>
    <w:basedOn w:val="38"/>
    <w:link w:val="26"/>
    <w:qFormat/>
    <w:uiPriority w:val="0"/>
    <w:rPr>
      <w:rFonts w:ascii="宋体" w:hAnsi="Times New Roman" w:eastAsia="宋体" w:cs="Times New Roman"/>
      <w:sz w:val="18"/>
      <w:szCs w:val="18"/>
    </w:rPr>
  </w:style>
  <w:style w:type="paragraph" w:customStyle="1" w:styleId="114">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115">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116">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17">
    <w:name w:val="其他标准标志"/>
    <w:basedOn w:val="73"/>
    <w:qFormat/>
    <w:uiPriority w:val="0"/>
    <w:pPr>
      <w:framePr w:w="6101" w:wrap="around" w:vAnchor="page" w:hAnchor="page" w:x="4673" w:y="942"/>
    </w:pPr>
    <w:rPr>
      <w:w w:val="130"/>
    </w:rPr>
  </w:style>
  <w:style w:type="paragraph" w:customStyle="1" w:styleId="118">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19">
    <w:name w:val="其他发布部门"/>
    <w:basedOn w:val="81"/>
    <w:qFormat/>
    <w:uiPriority w:val="0"/>
    <w:pPr>
      <w:framePr w:wrap="around" w:y="15310"/>
      <w:spacing w:line="0" w:lineRule="atLeast"/>
    </w:pPr>
    <w:rPr>
      <w:rFonts w:ascii="黑体" w:eastAsia="黑体"/>
      <w:b w:val="0"/>
    </w:rPr>
  </w:style>
  <w:style w:type="paragraph" w:customStyle="1" w:styleId="120">
    <w:name w:val="前言、引言标题"/>
    <w:next w:val="25"/>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21">
    <w:name w:val="三级无"/>
    <w:basedOn w:val="58"/>
    <w:qFormat/>
    <w:uiPriority w:val="0"/>
    <w:pPr>
      <w:spacing w:beforeLines="0" w:afterLines="0"/>
    </w:pPr>
    <w:rPr>
      <w:rFonts w:ascii="宋体" w:eastAsia="宋体"/>
    </w:rPr>
  </w:style>
  <w:style w:type="paragraph" w:customStyle="1" w:styleId="122">
    <w:name w:val="实施日期"/>
    <w:basedOn w:val="82"/>
    <w:qFormat/>
    <w:uiPriority w:val="0"/>
    <w:pPr>
      <w:framePr w:wrap="around" w:vAnchor="page" w:hAnchor="text"/>
      <w:jc w:val="right"/>
    </w:pPr>
  </w:style>
  <w:style w:type="paragraph" w:customStyle="1" w:styleId="123">
    <w:name w:val="示例后文字"/>
    <w:basedOn w:val="25"/>
    <w:next w:val="25"/>
    <w:qFormat/>
    <w:uiPriority w:val="0"/>
    <w:pPr>
      <w:ind w:firstLine="360"/>
    </w:pPr>
    <w:rPr>
      <w:sz w:val="18"/>
    </w:rPr>
  </w:style>
  <w:style w:type="paragraph" w:customStyle="1" w:styleId="124">
    <w:name w:val="首示例"/>
    <w:next w:val="25"/>
    <w:link w:val="125"/>
    <w:qFormat/>
    <w:uiPriority w:val="0"/>
    <w:pPr>
      <w:tabs>
        <w:tab w:val="left" w:pos="360"/>
      </w:tabs>
    </w:pPr>
    <w:rPr>
      <w:rFonts w:ascii="宋体" w:hAnsi="宋体" w:eastAsia="宋体" w:cs="Times New Roman"/>
      <w:kern w:val="2"/>
      <w:sz w:val="18"/>
      <w:szCs w:val="18"/>
      <w:lang w:val="en-US" w:eastAsia="zh-CN" w:bidi="ar-SA"/>
    </w:rPr>
  </w:style>
  <w:style w:type="character" w:customStyle="1" w:styleId="125">
    <w:name w:val="首示例 Char"/>
    <w:link w:val="124"/>
    <w:qFormat/>
    <w:uiPriority w:val="0"/>
    <w:rPr>
      <w:rFonts w:ascii="宋体" w:hAnsi="宋体" w:eastAsia="宋体" w:cs="Times New Roman"/>
      <w:sz w:val="18"/>
      <w:szCs w:val="18"/>
    </w:rPr>
  </w:style>
  <w:style w:type="paragraph" w:customStyle="1" w:styleId="126">
    <w:name w:val="四级无"/>
    <w:basedOn w:val="62"/>
    <w:qFormat/>
    <w:uiPriority w:val="0"/>
    <w:pPr>
      <w:spacing w:beforeLines="0" w:afterLines="0"/>
    </w:pPr>
    <w:rPr>
      <w:rFonts w:ascii="宋体" w:eastAsia="宋体"/>
    </w:rPr>
  </w:style>
  <w:style w:type="paragraph" w:customStyle="1" w:styleId="127">
    <w:name w:val="条文脚注"/>
    <w:basedOn w:val="26"/>
    <w:qFormat/>
    <w:uiPriority w:val="0"/>
    <w:pPr>
      <w:numPr>
        <w:numId w:val="0"/>
      </w:numPr>
      <w:jc w:val="both"/>
    </w:pPr>
  </w:style>
  <w:style w:type="paragraph" w:customStyle="1" w:styleId="128">
    <w:name w:val="图标脚注说明"/>
    <w:basedOn w:val="25"/>
    <w:qFormat/>
    <w:uiPriority w:val="0"/>
    <w:pPr>
      <w:ind w:left="840" w:hanging="420" w:firstLineChars="0"/>
    </w:pPr>
    <w:rPr>
      <w:sz w:val="18"/>
      <w:szCs w:val="18"/>
    </w:rPr>
  </w:style>
  <w:style w:type="paragraph" w:customStyle="1" w:styleId="129">
    <w:name w:val="图表脚注说明"/>
    <w:basedOn w:val="1"/>
    <w:qFormat/>
    <w:uiPriority w:val="0"/>
    <w:pPr>
      <w:ind w:left="544" w:hanging="181"/>
    </w:pPr>
    <w:rPr>
      <w:rFonts w:ascii="宋体"/>
      <w:sz w:val="18"/>
      <w:szCs w:val="18"/>
    </w:rPr>
  </w:style>
  <w:style w:type="paragraph" w:customStyle="1" w:styleId="130">
    <w:name w:val="图的脚注"/>
    <w:next w:val="25"/>
    <w:autoRedefine/>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character" w:customStyle="1" w:styleId="131">
    <w:name w:val="尾注文本 字符"/>
    <w:basedOn w:val="38"/>
    <w:link w:val="17"/>
    <w:semiHidden/>
    <w:qFormat/>
    <w:uiPriority w:val="0"/>
    <w:rPr>
      <w:rFonts w:ascii="Times New Roman" w:hAnsi="Times New Roman" w:eastAsia="宋体" w:cs="Times New Roman"/>
      <w:szCs w:val="24"/>
    </w:rPr>
  </w:style>
  <w:style w:type="character" w:customStyle="1" w:styleId="132">
    <w:name w:val="文档结构图 字符"/>
    <w:basedOn w:val="38"/>
    <w:link w:val="9"/>
    <w:semiHidden/>
    <w:qFormat/>
    <w:uiPriority w:val="0"/>
    <w:rPr>
      <w:rFonts w:ascii="Times New Roman" w:hAnsi="Times New Roman" w:eastAsia="宋体" w:cs="Times New Roman"/>
      <w:szCs w:val="24"/>
      <w:shd w:val="clear" w:color="auto" w:fill="000080"/>
    </w:rPr>
  </w:style>
  <w:style w:type="paragraph" w:customStyle="1" w:styleId="133">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34">
    <w:name w:val="五级无"/>
    <w:basedOn w:val="63"/>
    <w:qFormat/>
    <w:uiPriority w:val="0"/>
    <w:pPr>
      <w:spacing w:beforeLines="0" w:afterLines="0"/>
    </w:pPr>
    <w:rPr>
      <w:rFonts w:ascii="宋体" w:eastAsia="宋体"/>
    </w:rPr>
  </w:style>
  <w:style w:type="paragraph" w:customStyle="1" w:styleId="135">
    <w:name w:val="一级无"/>
    <w:basedOn w:val="49"/>
    <w:qFormat/>
    <w:uiPriority w:val="0"/>
    <w:pPr>
      <w:spacing w:beforeLines="0" w:afterLines="0"/>
    </w:pPr>
    <w:rPr>
      <w:rFonts w:ascii="宋体" w:eastAsia="宋体"/>
    </w:rPr>
  </w:style>
  <w:style w:type="paragraph" w:customStyle="1" w:styleId="136">
    <w:name w:val="正文表标题"/>
    <w:next w:val="25"/>
    <w:qFormat/>
    <w:uiPriority w:val="0"/>
    <w:p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37">
    <w:name w:val="正文公式编号制表符"/>
    <w:basedOn w:val="25"/>
    <w:next w:val="25"/>
    <w:qFormat/>
    <w:uiPriority w:val="0"/>
    <w:pPr>
      <w:ind w:firstLine="0" w:firstLineChars="0"/>
    </w:pPr>
  </w:style>
  <w:style w:type="paragraph" w:customStyle="1" w:styleId="138">
    <w:name w:val="正文图标题"/>
    <w:next w:val="25"/>
    <w:qFormat/>
    <w:uiPriority w:val="0"/>
    <w:p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39">
    <w:name w:val="终结线"/>
    <w:basedOn w:val="1"/>
    <w:qFormat/>
    <w:uiPriority w:val="0"/>
    <w:pPr>
      <w:framePr w:hSpace="181" w:vSpace="181" w:wrap="around" w:vAnchor="text" w:hAnchor="margin" w:xAlign="center" w:y="285"/>
    </w:pPr>
  </w:style>
  <w:style w:type="paragraph" w:customStyle="1" w:styleId="140">
    <w:name w:val="其他发布日期"/>
    <w:basedOn w:val="82"/>
    <w:qFormat/>
    <w:uiPriority w:val="0"/>
    <w:pPr>
      <w:framePr w:wrap="around" w:vAnchor="page" w:hAnchor="text" w:x="1419"/>
    </w:pPr>
  </w:style>
  <w:style w:type="paragraph" w:customStyle="1" w:styleId="141">
    <w:name w:val="其他实施日期"/>
    <w:basedOn w:val="122"/>
    <w:qFormat/>
    <w:uiPriority w:val="0"/>
    <w:pPr>
      <w:framePr w:wrap="around"/>
    </w:pPr>
  </w:style>
  <w:style w:type="paragraph" w:customStyle="1" w:styleId="142">
    <w:name w:val="封面标准名称2"/>
    <w:basedOn w:val="85"/>
    <w:qFormat/>
    <w:uiPriority w:val="0"/>
    <w:pPr>
      <w:framePr w:wrap="around" w:y="4469"/>
      <w:spacing w:beforeLines="630"/>
    </w:pPr>
  </w:style>
  <w:style w:type="paragraph" w:customStyle="1" w:styleId="143">
    <w:name w:val="封面标准英文名称2"/>
    <w:basedOn w:val="86"/>
    <w:qFormat/>
    <w:uiPriority w:val="0"/>
    <w:pPr>
      <w:framePr w:wrap="around" w:y="4469"/>
    </w:pPr>
  </w:style>
  <w:style w:type="paragraph" w:customStyle="1" w:styleId="144">
    <w:name w:val="封面一致性程度标识2"/>
    <w:basedOn w:val="87"/>
    <w:qFormat/>
    <w:uiPriority w:val="0"/>
    <w:pPr>
      <w:framePr w:wrap="around" w:y="4469"/>
    </w:pPr>
  </w:style>
  <w:style w:type="paragraph" w:customStyle="1" w:styleId="145">
    <w:name w:val="封面标准文稿类别2"/>
    <w:basedOn w:val="88"/>
    <w:qFormat/>
    <w:uiPriority w:val="0"/>
    <w:pPr>
      <w:framePr w:wrap="around" w:y="4469"/>
    </w:pPr>
  </w:style>
  <w:style w:type="paragraph" w:customStyle="1" w:styleId="146">
    <w:name w:val="封面标准文稿编辑信息2"/>
    <w:basedOn w:val="89"/>
    <w:qFormat/>
    <w:uiPriority w:val="0"/>
    <w:pPr>
      <w:framePr w:wrap="around" w:y="4469"/>
    </w:pPr>
  </w:style>
  <w:style w:type="paragraph" w:customStyle="1" w:styleId="147">
    <w:name w:val="标准文件_注："/>
    <w:next w:val="1"/>
    <w:qFormat/>
    <w:uiPriority w:val="0"/>
    <w:pPr>
      <w:widowControl w:val="0"/>
      <w:tabs>
        <w:tab w:val="left" w:pos="1455"/>
      </w:tabs>
      <w:autoSpaceDE w:val="0"/>
      <w:autoSpaceDN w:val="0"/>
      <w:spacing w:afterLines="30" w:line="300" w:lineRule="exact"/>
      <w:ind w:left="513" w:leftChars="150" w:right="-50" w:rightChars="-50" w:hanging="363"/>
      <w:jc w:val="both"/>
    </w:pPr>
    <w:rPr>
      <w:rFonts w:ascii="宋体" w:hAnsi="Times New Roman" w:eastAsia="宋体" w:cs="Times New Roman"/>
      <w:sz w:val="18"/>
      <w:lang w:val="en-US" w:eastAsia="zh-CN" w:bidi="ar-SA"/>
    </w:rPr>
  </w:style>
  <w:style w:type="paragraph" w:customStyle="1" w:styleId="148">
    <w:name w:val="标准文件_段"/>
    <w:autoRedefine/>
    <w:qFormat/>
    <w:uiPriority w:val="0"/>
    <w:pPr>
      <w:widowControl w:val="0"/>
      <w:autoSpaceDE w:val="0"/>
      <w:autoSpaceDN w:val="0"/>
      <w:adjustRightInd w:val="0"/>
      <w:snapToGrid w:val="0"/>
      <w:spacing w:line="276" w:lineRule="auto"/>
      <w:ind w:left="-105" w:leftChars="-50" w:right="-105" w:rightChars="-50" w:firstLine="52" w:firstLineChars="28"/>
      <w:jc w:val="center"/>
    </w:pPr>
    <w:rPr>
      <w:rFonts w:ascii="宋体" w:hAnsi="宋体" w:eastAsia="宋体" w:cs="Times New Roman"/>
      <w:spacing w:val="2"/>
      <w:position w:val="-24"/>
      <w:sz w:val="21"/>
      <w:szCs w:val="21"/>
      <w:lang w:val="en-US" w:eastAsia="zh-CN" w:bidi="ar-SA"/>
    </w:rPr>
  </w:style>
  <w:style w:type="paragraph" w:customStyle="1" w:styleId="149">
    <w:name w:val="标准文件_章标题"/>
    <w:next w:val="148"/>
    <w:qFormat/>
    <w:uiPriority w:val="0"/>
    <w:pPr>
      <w:spacing w:beforeLines="50" w:afterLines="50"/>
      <w:ind w:left="-50" w:leftChars="-50" w:right="-50" w:rightChars="-50"/>
      <w:jc w:val="both"/>
      <w:outlineLvl w:val="1"/>
    </w:pPr>
    <w:rPr>
      <w:rFonts w:ascii="黑体" w:hAnsi="Times New Roman" w:eastAsia="黑体" w:cs="Times New Roman"/>
      <w:spacing w:val="2"/>
      <w:sz w:val="21"/>
      <w:lang w:val="en-US" w:eastAsia="zh-CN" w:bidi="ar-SA"/>
    </w:rPr>
  </w:style>
  <w:style w:type="paragraph" w:customStyle="1" w:styleId="150">
    <w:name w:val="标准文件_一级条标题"/>
    <w:basedOn w:val="149"/>
    <w:next w:val="148"/>
    <w:qFormat/>
    <w:uiPriority w:val="0"/>
    <w:pPr>
      <w:spacing w:beforeLines="0" w:afterLines="0"/>
      <w:ind w:left="0" w:leftChars="0"/>
      <w:outlineLvl w:val="2"/>
    </w:pPr>
  </w:style>
  <w:style w:type="paragraph" w:customStyle="1" w:styleId="151">
    <w:name w:val="标准文件_二级条标题"/>
    <w:basedOn w:val="150"/>
    <w:next w:val="148"/>
    <w:qFormat/>
    <w:uiPriority w:val="0"/>
    <w:pPr>
      <w:outlineLvl w:val="3"/>
    </w:pPr>
  </w:style>
  <w:style w:type="paragraph" w:customStyle="1" w:styleId="152">
    <w:name w:val="前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标准文件_三级条标题"/>
    <w:basedOn w:val="151"/>
    <w:next w:val="148"/>
    <w:qFormat/>
    <w:uiPriority w:val="0"/>
    <w:pPr>
      <w:ind w:left="-50"/>
      <w:outlineLvl w:val="4"/>
    </w:pPr>
  </w:style>
  <w:style w:type="paragraph" w:customStyle="1" w:styleId="154">
    <w:name w:val="标准文件_四级条标题"/>
    <w:basedOn w:val="153"/>
    <w:next w:val="148"/>
    <w:qFormat/>
    <w:uiPriority w:val="0"/>
    <w:pPr>
      <w:ind w:left="0"/>
      <w:outlineLvl w:val="5"/>
    </w:pPr>
  </w:style>
  <w:style w:type="paragraph" w:customStyle="1" w:styleId="155">
    <w:name w:val="标准文件_五级条标题"/>
    <w:basedOn w:val="154"/>
    <w:next w:val="148"/>
    <w:qFormat/>
    <w:uiPriority w:val="0"/>
    <w:pPr>
      <w:outlineLvl w:val="6"/>
    </w:pPr>
  </w:style>
  <w:style w:type="paragraph" w:customStyle="1" w:styleId="156">
    <w:name w:val="标准文件_正文公式"/>
    <w:basedOn w:val="1"/>
    <w:next w:val="1"/>
    <w:autoRedefine/>
    <w:qFormat/>
    <w:uiPriority w:val="0"/>
    <w:pPr>
      <w:tabs>
        <w:tab w:val="right" w:leader="middleDot" w:pos="0"/>
      </w:tabs>
      <w:adjustRightInd w:val="0"/>
      <w:spacing w:line="276" w:lineRule="auto"/>
      <w:jc w:val="right"/>
    </w:pPr>
    <w:rPr>
      <w:rFonts w:ascii="宋体"/>
      <w:szCs w:val="20"/>
    </w:rPr>
  </w:style>
  <w:style w:type="paragraph" w:customStyle="1" w:styleId="157">
    <w:name w:val="Table Body Ctr"/>
    <w:basedOn w:val="1"/>
    <w:qFormat/>
    <w:uiPriority w:val="0"/>
    <w:pPr>
      <w:widowControl/>
      <w:spacing w:before="70" w:after="70"/>
      <w:jc w:val="center"/>
    </w:pPr>
    <w:rPr>
      <w:rFonts w:eastAsia="Times New Roman"/>
      <w:kern w:val="0"/>
      <w:sz w:val="20"/>
      <w:szCs w:val="20"/>
      <w:lang w:eastAsia="en-US"/>
    </w:rPr>
  </w:style>
  <w:style w:type="paragraph" w:customStyle="1" w:styleId="158">
    <w:name w:val="Char Char Char Char Char Char1 Char"/>
    <w:basedOn w:val="1"/>
    <w:qFormat/>
    <w:uiPriority w:val="0"/>
  </w:style>
  <w:style w:type="character" w:customStyle="1" w:styleId="159">
    <w:name w:val="批注框文本 字符"/>
    <w:basedOn w:val="38"/>
    <w:link w:val="18"/>
    <w:qFormat/>
    <w:uiPriority w:val="0"/>
    <w:rPr>
      <w:rFonts w:ascii="Times New Roman" w:hAnsi="Times New Roman" w:eastAsia="宋体" w:cs="Times New Roman"/>
      <w:sz w:val="18"/>
      <w:szCs w:val="18"/>
    </w:rPr>
  </w:style>
  <w:style w:type="character" w:customStyle="1" w:styleId="160">
    <w:name w:val="批注文字 字符"/>
    <w:basedOn w:val="38"/>
    <w:link w:val="10"/>
    <w:qFormat/>
    <w:uiPriority w:val="99"/>
    <w:rPr>
      <w:rFonts w:ascii="Times New Roman" w:hAnsi="Times New Roman" w:eastAsia="宋体" w:cs="Times New Roman"/>
      <w:szCs w:val="24"/>
    </w:rPr>
  </w:style>
  <w:style w:type="character" w:customStyle="1" w:styleId="161">
    <w:name w:val="批注主题 字符"/>
    <w:basedOn w:val="160"/>
    <w:link w:val="35"/>
    <w:qFormat/>
    <w:uiPriority w:val="0"/>
    <w:rPr>
      <w:rFonts w:ascii="Times New Roman" w:hAnsi="Times New Roman" w:eastAsia="宋体" w:cs="Times New Roman"/>
      <w:b/>
      <w:bCs/>
      <w:szCs w:val="24"/>
    </w:rPr>
  </w:style>
  <w:style w:type="table" w:customStyle="1" w:styleId="162">
    <w:name w:val="网格型1"/>
    <w:basedOn w:val="36"/>
    <w:qFormat/>
    <w:uiPriority w:val="5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163">
    <w:name w:val="gb公式行"/>
    <w:qFormat/>
    <w:uiPriority w:val="0"/>
    <w:rPr>
      <w:rFonts w:cs="Times New Roman"/>
      <w:sz w:val="24"/>
    </w:rPr>
  </w:style>
  <w:style w:type="paragraph" w:customStyle="1" w:styleId="164">
    <w:name w:val="AMDisplayEquation"/>
    <w:basedOn w:val="1"/>
    <w:next w:val="1"/>
    <w:link w:val="165"/>
    <w:qFormat/>
    <w:uiPriority w:val="0"/>
    <w:pPr>
      <w:tabs>
        <w:tab w:val="center" w:pos="4160"/>
        <w:tab w:val="right" w:pos="8300"/>
      </w:tabs>
      <w:ind w:firstLine="420" w:firstLineChars="200"/>
    </w:pPr>
    <w:rPr>
      <w:rFonts w:ascii="Calibri" w:hAnsi="Calibri"/>
      <w:szCs w:val="22"/>
    </w:rPr>
  </w:style>
  <w:style w:type="character" w:customStyle="1" w:styleId="165">
    <w:name w:val="AMDisplayEquation Char"/>
    <w:link w:val="164"/>
    <w:qFormat/>
    <w:uiPriority w:val="0"/>
    <w:rPr>
      <w:rFonts w:ascii="Calibri" w:hAnsi="Calibri" w:eastAsia="宋体" w:cs="Times New Roman"/>
    </w:rPr>
  </w:style>
  <w:style w:type="paragraph" w:customStyle="1" w:styleId="166">
    <w:name w:val="修订1"/>
    <w:hidden/>
    <w:semiHidden/>
    <w:qFormat/>
    <w:uiPriority w:val="99"/>
    <w:rPr>
      <w:rFonts w:ascii="Times New Roman" w:hAnsi="Times New Roman" w:eastAsia="宋体" w:cs="Times New Roman"/>
      <w:kern w:val="2"/>
      <w:sz w:val="21"/>
      <w:szCs w:val="24"/>
      <w:lang w:val="en-US" w:eastAsia="zh-CN" w:bidi="ar-SA"/>
    </w:rPr>
  </w:style>
  <w:style w:type="table" w:customStyle="1" w:styleId="167">
    <w:name w:val="网格型2"/>
    <w:basedOn w:val="36"/>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68">
    <w:name w:val="List Paragraph"/>
    <w:basedOn w:val="1"/>
    <w:qFormat/>
    <w:uiPriority w:val="34"/>
    <w:pPr>
      <w:ind w:firstLine="420" w:firstLineChars="200"/>
    </w:pPr>
    <w:rPr>
      <w:rFonts w:ascii="Calibri" w:hAnsi="Calibri"/>
      <w:szCs w:val="22"/>
    </w:rPr>
  </w:style>
  <w:style w:type="character" w:customStyle="1" w:styleId="169">
    <w:name w:val="标题 字符"/>
    <w:basedOn w:val="38"/>
    <w:link w:val="34"/>
    <w:qFormat/>
    <w:uiPriority w:val="0"/>
    <w:rPr>
      <w:rFonts w:ascii="Cambria" w:hAnsi="Cambria" w:eastAsia="宋体" w:cs="Times New Roman"/>
      <w:b/>
      <w:bCs/>
      <w:sz w:val="32"/>
      <w:szCs w:val="32"/>
    </w:rPr>
  </w:style>
  <w:style w:type="paragraph" w:customStyle="1" w:styleId="170">
    <w:name w:val="TOC 标题1"/>
    <w:basedOn w:val="2"/>
    <w:next w:val="1"/>
    <w:unhideWhenUsed/>
    <w:qFormat/>
    <w:uiPriority w:val="39"/>
    <w:pPr>
      <w:widowControl/>
      <w:spacing w:before="480" w:after="0" w:line="276" w:lineRule="auto"/>
      <w:jc w:val="left"/>
      <w:outlineLvl w:val="9"/>
    </w:pPr>
    <w:rPr>
      <w:rFonts w:ascii="Cambria" w:hAnsi="Cambria"/>
      <w:color w:val="365F91"/>
      <w:kern w:val="0"/>
      <w:sz w:val="28"/>
      <w:szCs w:val="28"/>
    </w:rPr>
  </w:style>
  <w:style w:type="paragraph" w:styleId="171">
    <w:name w:val="No Spacing"/>
    <w:link w:val="172"/>
    <w:qFormat/>
    <w:uiPriority w:val="1"/>
    <w:rPr>
      <w:rFonts w:asciiTheme="minorHAnsi" w:hAnsiTheme="minorHAnsi" w:eastAsiaTheme="minorEastAsia" w:cstheme="minorBidi"/>
      <w:sz w:val="22"/>
      <w:szCs w:val="22"/>
      <w:lang w:val="en-US" w:eastAsia="zh-CN" w:bidi="ar-SA"/>
    </w:rPr>
  </w:style>
  <w:style w:type="character" w:customStyle="1" w:styleId="172">
    <w:name w:val="无间隔 字符"/>
    <w:basedOn w:val="38"/>
    <w:link w:val="171"/>
    <w:qFormat/>
    <w:uiPriority w:val="1"/>
    <w:rPr>
      <w:kern w:val="0"/>
      <w:sz w:val="22"/>
    </w:rPr>
  </w:style>
  <w:style w:type="character" w:styleId="173">
    <w:name w:val="Placeholder Text"/>
    <w:basedOn w:val="38"/>
    <w:semiHidden/>
    <w:qFormat/>
    <w:uiPriority w:val="99"/>
    <w:rPr>
      <w:color w:val="808080"/>
    </w:rPr>
  </w:style>
  <w:style w:type="character" w:customStyle="1" w:styleId="174">
    <w:name w:val="标题 2 字符"/>
    <w:basedOn w:val="38"/>
    <w:link w:val="3"/>
    <w:qFormat/>
    <w:uiPriority w:val="9"/>
    <w:rPr>
      <w:rFonts w:asciiTheme="majorHAnsi" w:hAnsiTheme="majorHAnsi" w:eastAsiaTheme="majorEastAsia" w:cstheme="majorBidi"/>
      <w:b/>
      <w:bCs/>
      <w:sz w:val="32"/>
      <w:szCs w:val="32"/>
    </w:rPr>
  </w:style>
  <w:style w:type="character" w:customStyle="1" w:styleId="175">
    <w:name w:val="标题 3 字符"/>
    <w:basedOn w:val="38"/>
    <w:link w:val="4"/>
    <w:semiHidden/>
    <w:qFormat/>
    <w:uiPriority w:val="9"/>
    <w:rPr>
      <w:rFonts w:ascii="Times New Roman" w:hAnsi="Times New Roman" w:eastAsia="宋体" w:cs="Times New Roman"/>
      <w:b/>
      <w:bCs/>
      <w:sz w:val="32"/>
      <w:szCs w:val="32"/>
    </w:rPr>
  </w:style>
  <w:style w:type="paragraph" w:customStyle="1" w:styleId="176">
    <w:name w:val="Table Paragraph"/>
    <w:basedOn w:val="1"/>
    <w:qFormat/>
    <w:uiPriority w:val="1"/>
    <w:pPr>
      <w:jc w:val="left"/>
    </w:pPr>
    <w:rPr>
      <w:rFonts w:asciiTheme="minorHAnsi" w:hAnsiTheme="minorHAnsi" w:eastAsiaTheme="minorEastAsia" w:cstheme="minorBidi"/>
      <w:kern w:val="0"/>
      <w:sz w:val="22"/>
      <w:szCs w:val="22"/>
      <w:lang w:eastAsia="en-US"/>
    </w:rPr>
  </w:style>
  <w:style w:type="table" w:customStyle="1" w:styleId="177">
    <w:name w:val="Table Normal"/>
    <w:qFormat/>
    <w:uiPriority w:val="2"/>
    <w:pPr>
      <w:widowControl w:val="0"/>
    </w:pPr>
    <w:rPr>
      <w:sz w:val="22"/>
      <w:lang w:eastAsia="en-US"/>
    </w:rPr>
    <w:tblPr>
      <w:tblCellMar>
        <w:top w:w="0" w:type="dxa"/>
        <w:left w:w="0" w:type="dxa"/>
        <w:bottom w:w="0" w:type="dxa"/>
        <w:right w:w="0" w:type="dxa"/>
      </w:tblCellMar>
    </w:tblPr>
  </w:style>
  <w:style w:type="paragraph" w:customStyle="1" w:styleId="178">
    <w:name w:val="Revision"/>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50"/>
    <customShpInfo spid="_x0000_s3079"/>
    <customShpInfo spid="_x0000_s3078"/>
    <customShpInfo spid="_x0000_s3077"/>
    <customShpInfo spid="_x0000_s3075"/>
    <customShpInfo spid="_x0000_s3074"/>
    <customShpInfo spid="_x0000_s308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23AEBE9-DC46-40D9-9430-361776FA1EF3}">
  <ds:schemaRefs/>
</ds:datastoreItem>
</file>

<file path=docProps/app.xml><?xml version="1.0" encoding="utf-8"?>
<Properties xmlns="http://schemas.openxmlformats.org/officeDocument/2006/extended-properties" xmlns:vt="http://schemas.openxmlformats.org/officeDocument/2006/docPropsVTypes">
  <Template>Normal.dotm</Template>
  <Pages>9</Pages>
  <Words>3004</Words>
  <Characters>3230</Characters>
  <Lines>164</Lines>
  <Paragraphs>210</Paragraphs>
  <TotalTime>1</TotalTime>
  <ScaleCrop>false</ScaleCrop>
  <LinksUpToDate>false</LinksUpToDate>
  <CharactersWithSpaces>3300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2026-07-03T02:48:00Z</dcterms:created>
  <dc:creator>王友刚</dc:creator>
  <cp:lastModifiedBy>La solitudine</cp:lastModifiedBy>
  <cp:lastPrinted>2023-11-07T08:18:00Z</cp:lastPrinted>
  <dcterms:modified xsi:type="dcterms:W3CDTF">2026-07-07T02:39:45Z</dcterms:modified>
  <dc:title>高温气冷堆核电厂核安全相关厂房设计荷载技术规程</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eyJoZGlkIjoiOGJjNWNjZjhhZmY1M2U4ZmMxNzZmNGNmMjQwNjFiNjIiLCJ1c2VySWQiOiI0NjE0NTI2MDMifQ==</vt:lpwstr>
  </property>
  <property fmtid="{D5CDD505-2E9C-101B-9397-08002B2CF9AE}" pid="3" name="KSOProductBuildVer">
    <vt:lpwstr>2052-12.1.0.25225</vt:lpwstr>
  </property>
  <property fmtid="{D5CDD505-2E9C-101B-9397-08002B2CF9AE}" pid="4" name="ICV">
    <vt:lpwstr>40DBC58768524743A0E6DA075473BCF8_12</vt:lpwstr>
  </property>
</Properties>
</file>